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Shook James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717 MAIN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HONESDALE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18431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NORWOOD FINANCIAL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NWFL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13"/>
        <w:gridCol w:w="907"/>
        <w:gridCol w:w="776"/>
        <w:gridCol w:w="602"/>
        <w:gridCol w:w="347"/>
        <w:gridCol w:w="797"/>
        <w:gridCol w:w="449"/>
        <w:gridCol w:w="754"/>
        <w:gridCol w:w="1156"/>
        <w:gridCol w:w="993"/>
        <w:gridCol w:w="111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1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0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1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1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34.02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12,626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1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Director Retainer Shares issued under the 2024 Equity Incentive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Award vests in three equal installments beginning on December 15, 2026 and annually thereafter during such periods of continued service as an Employee, Outside Director or Director Emeritus, as applicable.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/s/James Shook by Mackenzie Jackson,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90760" TargetMode="External"/><Relationship Id="rId5" Type="http://schemas.openxmlformats.org/officeDocument/2006/relationships/hyperlink" Target="http://www.sec.gov/cgi-bin/browse-edgar?action=getcompany&amp;CIK=000101327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610</Words>
  <Characters>3331</Characters>
  <CharactersWithSpaces>3870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