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PHILLIPS KENNETH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717 MAIN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HONESDALE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18431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NORWOOD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NWFL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9"/>
        <w:gridCol w:w="778"/>
        <w:gridCol w:w="603"/>
        <w:gridCol w:w="349"/>
        <w:gridCol w:w="804"/>
        <w:gridCol w:w="454"/>
        <w:gridCol w:w="671"/>
        <w:gridCol w:w="1165"/>
        <w:gridCol w:w="1000"/>
        <w:gridCol w:w="11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33.7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16,012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Restricted Stock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Director Retainer Shares issued under the 2024 Equity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Award vests in five equal installments beginning on December 14, 2022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Award vests in five equal installments beginning on December 13, 2023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Award vests in five equal installments beginning on December 12, 2024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Award vests in three equal installments beginning December 15, 2025 and annually thereafter during such periods of continued service as an Employee, Outside Director or Director Emeritus, as applicable.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Award vests in three equal installments beginning on December 15, 2026 and annually thereafter during such periods of continued service as an Employee, Outside Director or Director Emeritus, as applicable.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Kenneth A. Phillips, by Mackenzie Jackson,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2468" TargetMode="External"/><Relationship Id="rId5" Type="http://schemas.openxmlformats.org/officeDocument/2006/relationships/hyperlink" Target="http://www.sec.gov/cgi-bin/browse-edgar?action=getcompany&amp;CIK=00010132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766</Words>
  <Characters>4214</Characters>
  <CharactersWithSpaces>4885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