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sz w:val="28"/>
          <w:bdr w:val="double" w:sz="6" w:space="1" w:color="000000"/>
        </w:rPr>
      </w:pPr>
      <w:bookmarkStart w:id="0" w:name="nwfl-20260722x8k.htm"/>
      <w:bookmarkStart w:id="1" w:name="ksnwfl20260722x8k"/>
      <w:bookmarkEnd w:id="0"/>
      <w:bookmarkEnd w:id="1"/>
      <w:r>
        <w:rPr>
          <w:rFonts w:ascii="Times New Roman;serif" w:hAnsi="Times New Roman;serif"/>
          <w:b/>
          <w:i w:val="false"/>
          <w:caps w:val="false"/>
          <w:smallCaps w:val="false"/>
          <w:sz w:val="28"/>
          <w:bdr w:val="double" w:sz="6" w:space="1" w:color="000000"/>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8-K</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CURRENT REPORT</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 OF</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THE SECURITIES EXCHANGE ACT OF 1934</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_____________________________</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Date of Report (Date of earliest event reported): July 22, 2026</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_____________________________</w:t>
      </w:r>
    </w:p>
    <w:p>
      <w:pPr>
        <w:pStyle w:val="TextBody"/>
        <w:bidi w:val="0"/>
        <w:spacing w:lineRule="auto" w:line="259"/>
        <w:rPr>
          <w:rFonts w:ascii="Times New Roman;serif" w:hAnsi="Times New Roman;serif"/>
          <w:b/>
          <w:i w:val="false"/>
          <w:caps w:val="false"/>
          <w:smallCaps w:val="false"/>
          <w:sz w:val="40"/>
        </w:rPr>
      </w:pPr>
      <w:r>
        <w:rPr>
          <w:rFonts w:ascii="Times New Roman;serif" w:hAnsi="Times New Roman;serif"/>
          <w:b/>
          <w:i w:val="false"/>
          <w:caps w:val="false"/>
          <w:smallCaps w:val="false"/>
          <w:sz w:val="40"/>
        </w:rPr>
        <w:t>NORWOOD FINANCIAL CORP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tbl>
      <w:tblPr>
        <w:tblW w:w="6918" w:type="dxa"/>
        <w:jc w:val="center"/>
        <w:tblInd w:w="0" w:type="dxa"/>
        <w:tblLayout w:type="fixed"/>
        <w:tblCellMar>
          <w:top w:w="0" w:type="dxa"/>
          <w:left w:w="0" w:type="dxa"/>
          <w:bottom w:w="0" w:type="dxa"/>
          <w:right w:w="0" w:type="dxa"/>
        </w:tblCellMar>
      </w:tblPr>
      <w:tblGrid>
        <w:gridCol w:w="2446"/>
        <w:gridCol w:w="2386"/>
        <w:gridCol w:w="2086"/>
      </w:tblGrid>
      <w:tr>
        <w:trPr/>
        <w:tc>
          <w:tcPr>
            <w:tcW w:w="24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Pennsylvania</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0-28364</w:t>
            </w:r>
          </w:p>
        </w:tc>
        <w:tc>
          <w:tcPr>
            <w:tcW w:w="20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23-2828306</w:t>
            </w:r>
          </w:p>
        </w:tc>
      </w:tr>
      <w:tr>
        <w:trPr/>
        <w:tc>
          <w:tcPr>
            <w:tcW w:w="244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(State or Other Jurisdiction</w:t>
              <w:br/>
              <w:t>‎of Incorporation)</w:t>
            </w:r>
          </w:p>
        </w:tc>
        <w:tc>
          <w:tcPr>
            <w:tcW w:w="23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(Commission File Number)</w:t>
            </w:r>
          </w:p>
        </w:tc>
        <w:tc>
          <w:tcPr>
            <w:tcW w:w="208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(I.R.S. Employer</w:t>
              <w:br/>
              <w:t>‎Identification Number)</w:t>
            </w:r>
          </w:p>
        </w:tc>
      </w:tr>
    </w:tbl>
    <w:tbl>
      <w:tblPr>
        <w:tblW w:w="4873" w:type="dxa"/>
        <w:jc w:val="center"/>
        <w:tblInd w:w="0" w:type="dxa"/>
        <w:tblLayout w:type="fixed"/>
        <w:tblCellMar>
          <w:top w:w="0" w:type="dxa"/>
          <w:left w:w="0" w:type="dxa"/>
          <w:bottom w:w="0" w:type="dxa"/>
          <w:right w:w="0" w:type="dxa"/>
        </w:tblCellMar>
      </w:tblPr>
      <w:tblGrid>
        <w:gridCol w:w="3676"/>
        <w:gridCol w:w="146"/>
        <w:gridCol w:w="105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717 Main Street, Honesdale, Pennsylvania</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18431</w:t>
            </w:r>
          </w:p>
        </w:tc>
      </w:tr>
      <w:tr>
        <w:trPr/>
        <w:tc>
          <w:tcPr>
            <w:tcW w:w="3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Registrant’s telephone number, including area code:</w:t>
      </w:r>
      <w:r>
        <w:rPr>
          <w:rFonts w:ascii="Times New Roman;serif" w:hAnsi="Times New Roman;serif"/>
          <w:b/>
          <w:i w:val="false"/>
          <w:caps w:val="false"/>
          <w:smallCaps w:val="false"/>
          <w:sz w:val="20"/>
          <w:u w:val="single"/>
        </w:rPr>
        <w:t>(570) 253-1455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(Former name or former address, if changed since last report)</w:t>
      </w:r>
    </w:p>
    <w:p>
      <w:pPr>
        <w:pStyle w:val="TextBody"/>
        <w:bidi w:val="0"/>
        <w:spacing w:lineRule="auto" w:line="259"/>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Pre-commencement communications pursuant to Rule 13e-4(c) under the Exchange Act (17 CFR 240.13e-4(c))</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6011" w:type="dxa"/>
        <w:jc w:val="left"/>
        <w:tblInd w:w="0" w:type="dxa"/>
        <w:tblLayout w:type="fixed"/>
        <w:tblCellMar>
          <w:top w:w="0" w:type="dxa"/>
          <w:left w:w="0" w:type="dxa"/>
          <w:bottom w:w="28" w:type="dxa"/>
          <w:right w:w="0" w:type="dxa"/>
        </w:tblCellMar>
      </w:tblPr>
      <w:tblGrid>
        <w:gridCol w:w="2731"/>
        <w:gridCol w:w="109"/>
        <w:gridCol w:w="811"/>
        <w:gridCol w:w="109"/>
        <w:gridCol w:w="2251"/>
      </w:tblGrid>
      <w:tr>
        <w:trPr/>
        <w:tc>
          <w:tcPr>
            <w:tcW w:w="2731"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Title of class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Trading</w:t>
              <w:br/>
              <w:t>‎symbol</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251" w:type="dxa"/>
            <w:tcBorders>
              <w:bottom w:val="single" w:sz="8" w:space="0" w:color="000000"/>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 of exchange on</w:t>
              <w:br/>
              <w:t>‎which registered</w:t>
            </w:r>
          </w:p>
        </w:tc>
      </w:tr>
      <w:tr>
        <w:trPr/>
        <w:tc>
          <w:tcPr>
            <w:tcW w:w="2731"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Stock, $0.10 par value</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811"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NWFL</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2251"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Nasdaq Stock Market</w:t>
            </w:r>
          </w:p>
        </w:tc>
      </w:tr>
    </w:tbl>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w:t>
      </w:r>
      <w:r>
        <w:rPr>
          <w:rFonts w:ascii="Times New Roman;serif" w:hAnsi="Times New Roman;serif"/>
          <w:caps w:val="false"/>
          <w:smallCaps w:val="false"/>
          <w:color w:val="000000"/>
          <w:sz w:val="20"/>
        </w:rPr>
        <w:t> ☐</w:t>
      </w:r>
    </w:p>
    <w:p>
      <w:pPr>
        <w:pStyle w:val="TextBody"/>
        <w:bidi w:val="0"/>
        <w:spacing w:lineRule="auto" w:line="259"/>
        <w:jc w:val="both"/>
        <w:rPr>
          <w:rFonts w:ascii="Times New Roman;serif" w:hAnsi="Times New Roman;serif"/>
          <w:sz w:val="20"/>
          <w:bdr w:val="double" w:sz="6" w:space="1" w:color="000000"/>
        </w:rPr>
      </w:pPr>
      <w:r>
        <w:rPr>
          <w:rFonts w:ascii="Times New Roman;serif" w:hAnsi="Times New Roman;serif"/>
          <w:b w:val="false"/>
          <w:i w:val="false"/>
          <w:caps w:val="false"/>
          <w:smallCaps w:val="false"/>
          <w:color w:val="000000"/>
          <w:sz w:val="20"/>
          <w:bdr w:val="double" w:sz="6" w:space="1" w:color="00000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caps w:val="false"/>
          <w:smallCaps w:val="false"/>
          <w:color w:val="000000"/>
          <w:sz w:val="20"/>
          <w:bdr w:val="double" w:sz="6" w:space="1" w:color="00000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Item 2.02 </w:t>
      </w:r>
      <w:r>
        <w:rPr>
          <w:rFonts w:ascii="Times New Roman;serif" w:hAnsi="Times New Roman;serif"/>
          <w:b/>
          <w:i w:val="false"/>
          <w:caps w:val="false"/>
          <w:smallCaps w:val="false"/>
          <w:sz w:val="20"/>
          <w:u w:val="single"/>
        </w:rPr>
        <w:t>Results of Operations and Financial Condition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22, 2026, Norwood Financial Corp (the “Company”), the holding company for Wayne Bank, issued a press release in which it announced its earnings for the quarter ended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copy of the press release announcing the results is included as Exhibit 99.1 to this Current Report on Form 8-K and shall not be deemed “filed” for purposes of Section 18 of the Securities Exchange Act of 1934, nor shall it be deemed incorporated by reference in any filing under the Securities Act of 1933.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7.01</w:t>
      </w:r>
      <w:r>
        <w:rPr>
          <w:rFonts w:ascii="Times New Roman;serif" w:hAnsi="Times New Roman;serif"/>
          <w:b/>
          <w:i w:val="false"/>
          <w:caps w:val="false"/>
          <w:smallCaps w:val="false"/>
          <w:sz w:val="20"/>
          <w:u w:val="single"/>
        </w:rPr>
        <w:t>Regulation FD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22, 2026, the Company will host a call with respect to earnings for the quarter ended June 30, 2026 and will use and post an earnings presentation for the quarterly results of operations (the “Earnings Presentation”). The Earnings Presentation is included as Exhibit 99.2 to this Current Report on Form 8-K and is incorporated herein by reference.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included in this Current Report pursuant to this Item 7.01 shall not be deemed “filed” for purposes of Section 18 of the Securities Exchange Act of 1934, nor shall it be deemed incorporated by reference in any filing under the Securities Act of 1933.</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ind w:left="346" w:right="0" w:hanging="0"/>
        <w:rPr>
          <w:rFonts w:ascii="Times New Roman;serif" w:hAnsi="Times New Roman;serif"/>
          <w:sz w:val="20"/>
        </w:rPr>
      </w:pPr>
      <w:r>
        <w:rPr>
          <w:rFonts w:ascii="Times New Roman;serif" w:hAnsi="Times New Roman;serif"/>
          <w:b w:val="false"/>
          <w:i w:val="false"/>
          <w:caps w:val="false"/>
          <w:smallCaps w:val="false"/>
          <w:sz w:val="20"/>
        </w:rPr>
        <w:t xml:space="preserve">(d)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Exhibits:</w:t>
      </w:r>
    </w:p>
    <w:tbl>
      <w:tblPr>
        <w:tblW w:w="7903" w:type="dxa"/>
        <w:jc w:val="left"/>
        <w:tblInd w:w="0" w:type="dxa"/>
        <w:tblLayout w:type="fixed"/>
        <w:tblCellMar>
          <w:top w:w="0" w:type="dxa"/>
          <w:left w:w="0" w:type="dxa"/>
          <w:bottom w:w="0" w:type="dxa"/>
          <w:right w:w="0" w:type="dxa"/>
        </w:tblCellMar>
      </w:tblPr>
      <w:tblGrid>
        <w:gridCol w:w="751"/>
        <w:gridCol w:w="206"/>
        <w:gridCol w:w="6946"/>
      </w:tblGrid>
      <w:tr>
        <w:trPr/>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w:t>
              <w:br/>
              <w:t>‎No.</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Description</w:t>
            </w:r>
          </w:p>
        </w:tc>
      </w:tr>
      <w:tr>
        <w:trPr/>
        <w:tc>
          <w:tcPr>
            <w:tcW w:w="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46" w:type="dxa"/>
            <w:tcBorders/>
            <w:vAlign w:val="center"/>
          </w:tcPr>
          <w:p>
            <w:pPr>
              <w:pStyle w:val="TableContents"/>
              <w:bidi w:val="0"/>
              <w:spacing w:lineRule="auto" w:line="259" w:before="0" w:after="283"/>
              <w:jc w:val="left"/>
              <w:rPr/>
            </w:pPr>
            <w:hyperlink w:anchor="nwfl-20260722xex99_1.htm">
              <w:r>
                <w:rPr>
                  <w:rStyle w:val="InternetLink"/>
                  <w:rFonts w:ascii="Times New Roman;serif" w:hAnsi="Times New Roman;serif"/>
                  <w:b w:val="false"/>
                  <w:i w:val="false"/>
                  <w:caps w:val="false"/>
                  <w:smallCaps w:val="false"/>
                  <w:color w:val="0000FF"/>
                  <w:sz w:val="20"/>
                  <w:u w:val="single"/>
                </w:rPr>
                <w:t>Press Release dated July 22, 2026.</w:t>
              </w:r>
            </w:hyperlink>
          </w:p>
        </w:tc>
      </w:tr>
      <w:tr>
        <w:trPr/>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99.2</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46" w:type="dxa"/>
            <w:tcBorders/>
            <w:vAlign w:val="center"/>
          </w:tcPr>
          <w:p>
            <w:pPr>
              <w:pStyle w:val="TableContents"/>
              <w:bidi w:val="0"/>
              <w:spacing w:lineRule="auto" w:line="259" w:before="0" w:after="283"/>
              <w:jc w:val="left"/>
              <w:rPr/>
            </w:pPr>
            <w:hyperlink w:anchor="nwfl-20260722xex99_2.htm">
              <w:r>
                <w:rPr>
                  <w:rStyle w:val="InternetLink"/>
                  <w:rFonts w:ascii="Times New Roman;serif" w:hAnsi="Times New Roman;serif"/>
                  <w:b w:val="false"/>
                  <w:i w:val="false"/>
                  <w:caps w:val="false"/>
                  <w:smallCaps w:val="false"/>
                  <w:color w:val="0000FF"/>
                  <w:sz w:val="20"/>
                  <w:u w:val="single"/>
                </w:rPr>
                <w:t>Norwood Financial Corp Earnings Presentation for the Quarter Ended June 30, 2026</w:t>
              </w:r>
            </w:hyperlink>
          </w:p>
        </w:tc>
      </w:tr>
      <w:tr>
        <w:trPr/>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Inline XBRL document).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lineRule="auto" w:line="259"/>
        <w:ind w:left="720" w:right="0" w:hanging="0"/>
        <w:rPr/>
      </w:pPr>
      <w:r>
        <w:rPr>
          <w:caps w:val="false"/>
          <w:smallCaps w:val="false"/>
        </w:rPr>
        <w:t>    </w:t>
      </w:r>
      <w:r>
        <w:rPr>
          <w:rFonts w:ascii="Times New Roman;serif" w:hAnsi="Times New Roman;serif"/>
          <w:b/>
          <w:i w:val="false"/>
          <w:caps w:val="false"/>
          <w:smallCaps w:val="false"/>
          <w:sz w:val="20"/>
        </w:rPr>
        <w:t>NORWOOD FINANCIAL CORP</w:t>
      </w:r>
    </w:p>
    <w:tbl>
      <w:tblPr>
        <w:tblW w:w="7300" w:type="dxa"/>
        <w:jc w:val="left"/>
        <w:tblInd w:w="0" w:type="dxa"/>
        <w:tblLayout w:type="fixed"/>
        <w:tblCellMar>
          <w:top w:w="0" w:type="dxa"/>
          <w:left w:w="0" w:type="dxa"/>
          <w:bottom w:w="0" w:type="dxa"/>
          <w:right w:w="0" w:type="dxa"/>
        </w:tblCellMar>
      </w:tblPr>
      <w:tblGrid>
        <w:gridCol w:w="1846"/>
        <w:gridCol w:w="146"/>
        <w:gridCol w:w="109"/>
        <w:gridCol w:w="146"/>
        <w:gridCol w:w="406"/>
        <w:gridCol w:w="146"/>
        <w:gridCol w:w="45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NORWOOD FINANCIAL CORP</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552" w:type="dxa"/>
            <w:gridSpan w:val="2"/>
            <w:tcBorders/>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July 22, 2026</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John M. McCaffery</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M. McCaffery</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and Chief Executive Officer</w:t>
            </w:r>
          </w:p>
        </w:tc>
      </w:tr>
    </w:tbl>
    <w:p>
      <w:pPr>
        <w:pStyle w:val="TextBody"/>
        <w:bidi w:val="0"/>
        <w:spacing w:lineRule="auto" w:line="276" w:before="0" w:after="160"/>
        <w:ind w:left="720" w:right="720" w:hanging="0"/>
        <w:jc w:val="center"/>
        <w:rPr/>
      </w:pPr>
      <w:bookmarkStart w:id="2" w:name="nwfl-20260722xex99_1.htm"/>
      <w:bookmarkStart w:id="3" w:name="ksnwfl20260722xex99_1"/>
      <w:bookmarkEnd w:id="2"/>
      <w:bookmarkEnd w:id="3"/>
      <w:r>
        <w:rPr/>
        <w:drawing>
          <wp:inline distT="0" distB="0" distL="0" distR="0">
            <wp:extent cx="57721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2150" cy="876300"/>
                    </a:xfrm>
                    <a:prstGeom prst="rect">
                      <a:avLst/>
                    </a:prstGeom>
                  </pic:spPr>
                </pic:pic>
              </a:graphicData>
            </a:graphic>
          </wp:inline>
        </w:drawing>
      </w:r>
      <w:r>
        <w:rPr/>
        <w:t xml:space="preserve"> </w:t>
      </w:r>
      <w:r>
        <w:br w:type="page"/>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ascii="Aptos" w:hAnsi="Aptos"/>
          <w:sz w:val="24"/>
        </w:rPr>
      </w:pPr>
      <w:r>
        <w:rPr>
          <w:rFonts w:ascii="Times New Roman" w:hAnsi="Times New Roman"/>
          <w:sz w:val="24"/>
        </w:rPr>
        <w:t>FOR</w:t>
      </w:r>
      <w:r>
        <w:rPr>
          <w:rFonts w:ascii="Aptos" w:hAnsi="Aptos"/>
          <w:sz w:val="24"/>
        </w:rPr>
        <w:t> </w:t>
      </w:r>
      <w:r>
        <w:rPr>
          <w:rFonts w:ascii="Times New Roman" w:hAnsi="Times New Roman"/>
          <w:sz w:val="24"/>
        </w:rPr>
        <w:t>IMMEDIATE RELEASE</w:t>
      </w:r>
      <w:r>
        <w:rPr>
          <w:rFonts w:ascii="Aptos" w:hAnsi="Aptos"/>
          <w:sz w:val="24"/>
        </w:rPr>
        <w:t xml:space="preserve"> </w:t>
      </w:r>
    </w:p>
    <w:p>
      <w:pPr>
        <w:pStyle w:val="TextBody"/>
        <w:bidi w:val="0"/>
        <w:spacing w:lineRule="auto" w:line="276" w:before="0" w:after="160"/>
        <w:ind w:left="720" w:right="720" w:hanging="0"/>
        <w:jc w:val="left"/>
        <w:rPr>
          <w:rFonts w:ascii="Aptos" w:hAnsi="Aptos"/>
          <w:sz w:val="28"/>
        </w:rPr>
      </w:pPr>
      <w:r>
        <w:rPr>
          <w:rFonts w:ascii="Aptos" w:hAnsi="Aptos"/>
          <w:b/>
          <w:sz w:val="28"/>
        </w:rPr>
        <w:t>Norwood Financial Corp announces Second Quarter Financial Results</w:t>
      </w:r>
      <w:r>
        <w:rPr>
          <w:rFonts w:ascii="Aptos" w:hAnsi="Aptos"/>
          <w:sz w:val="28"/>
        </w:rPr>
        <w:t xml:space="preserve"> </w:t>
      </w:r>
    </w:p>
    <w:p>
      <w:pPr>
        <w:pStyle w:val="TextBody"/>
        <w:bidi w:val="0"/>
        <w:spacing w:lineRule="auto" w:line="276" w:before="0" w:after="160"/>
        <w:ind w:left="720" w:right="720" w:hanging="0"/>
        <w:jc w:val="left"/>
        <w:rPr>
          <w:rFonts w:ascii="Aptos" w:hAnsi="Aptos"/>
          <w:sz w:val="24"/>
        </w:rPr>
      </w:pPr>
      <w:r>
        <w:rPr>
          <w:rFonts w:ascii="Aptos" w:hAnsi="Aptos"/>
          <w:b/>
          <w:sz w:val="24"/>
        </w:rPr>
        <w:t>Quarterly Highlights:</w:t>
      </w:r>
      <w:r>
        <w:rPr>
          <w:rFonts w:ascii="Aptos" w:hAnsi="Aptos"/>
          <w:sz w:val="24"/>
        </w:rPr>
        <w:t xml:space="preserve"> </w:t>
      </w:r>
    </w:p>
    <w:tbl>
      <w:tblPr>
        <w:tblW w:w="4421" w:type="dxa"/>
        <w:jc w:val="left"/>
        <w:tblInd w:w="720" w:type="dxa"/>
        <w:tblLayout w:type="fixed"/>
        <w:tblCellMar>
          <w:top w:w="0" w:type="dxa"/>
          <w:left w:w="0" w:type="dxa"/>
          <w:bottom w:w="0" w:type="dxa"/>
          <w:right w:w="0" w:type="dxa"/>
        </w:tblCellMar>
      </w:tblPr>
      <w:tblGrid>
        <w:gridCol w:w="38"/>
        <w:gridCol w:w="200"/>
        <w:gridCol w:w="23"/>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60"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Record net income of $9.3 million.</w:t>
            </w:r>
          </w:p>
        </w:tc>
      </w:tr>
    </w:tbl>
    <w:tbl>
      <w:tblPr>
        <w:tblW w:w="5561" w:type="dxa"/>
        <w:jc w:val="left"/>
        <w:tblInd w:w="720" w:type="dxa"/>
        <w:tblLayout w:type="fixed"/>
        <w:tblCellMar>
          <w:top w:w="0" w:type="dxa"/>
          <w:left w:w="0" w:type="dxa"/>
          <w:bottom w:w="0" w:type="dxa"/>
          <w:right w:w="0" w:type="dxa"/>
        </w:tblCellMar>
      </w:tblPr>
      <w:tblGrid>
        <w:gridCol w:w="38"/>
        <w:gridCol w:w="200"/>
        <w:gridCol w:w="23"/>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00"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Record net interest income of $26.8 million.</w:t>
            </w:r>
          </w:p>
        </w:tc>
      </w:tr>
    </w:tbl>
    <w:tbl>
      <w:tblPr>
        <w:tblW w:w="4616" w:type="dxa"/>
        <w:jc w:val="left"/>
        <w:tblInd w:w="720" w:type="dxa"/>
        <w:tblLayout w:type="fixed"/>
        <w:tblCellMar>
          <w:top w:w="0" w:type="dxa"/>
          <w:left w:w="0" w:type="dxa"/>
          <w:bottom w:w="0" w:type="dxa"/>
          <w:right w:w="0" w:type="dxa"/>
        </w:tblCellMar>
      </w:tblPr>
      <w:tblGrid>
        <w:gridCol w:w="38"/>
        <w:gridCol w:w="200"/>
        <w:gridCol w:w="23"/>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55"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Diluted earnings per share of $0.86.</w:t>
            </w:r>
          </w:p>
        </w:tc>
      </w:tr>
    </w:tbl>
    <w:tbl>
      <w:tblPr>
        <w:tblW w:w="3776" w:type="dxa"/>
        <w:jc w:val="left"/>
        <w:tblInd w:w="720" w:type="dxa"/>
        <w:tblLayout w:type="fixed"/>
        <w:tblCellMar>
          <w:top w:w="0" w:type="dxa"/>
          <w:left w:w="0" w:type="dxa"/>
          <w:bottom w:w="0" w:type="dxa"/>
          <w:right w:w="0" w:type="dxa"/>
        </w:tblCellMar>
      </w:tblPr>
      <w:tblGrid>
        <w:gridCol w:w="38"/>
        <w:gridCol w:w="200"/>
        <w:gridCol w:w="23"/>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15"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Total assets of $2.908 billion.</w:t>
            </w:r>
          </w:p>
        </w:tc>
      </w:tr>
    </w:tbl>
    <w:tbl>
      <w:tblPr>
        <w:tblW w:w="8765" w:type="dxa"/>
        <w:jc w:val="left"/>
        <w:tblInd w:w="720" w:type="dxa"/>
        <w:tblLayout w:type="fixed"/>
        <w:tblCellMar>
          <w:top w:w="0" w:type="dxa"/>
          <w:left w:w="0" w:type="dxa"/>
          <w:bottom w:w="0" w:type="dxa"/>
          <w:right w:w="0" w:type="dxa"/>
        </w:tblCellMar>
      </w:tblPr>
      <w:tblGrid>
        <w:gridCol w:w="38"/>
        <w:gridCol w:w="175"/>
        <w:gridCol w:w="23"/>
        <w:gridCol w:w="852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29"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Tangible book value per share increased to $22.96, surpassing the pre-acquisition value of $22.90.</w:t>
            </w:r>
          </w:p>
        </w:tc>
      </w:tr>
    </w:tbl>
    <w:tbl>
      <w:tblPr>
        <w:tblW w:w="8765" w:type="dxa"/>
        <w:jc w:val="left"/>
        <w:tblInd w:w="720" w:type="dxa"/>
        <w:tblLayout w:type="fixed"/>
        <w:tblCellMar>
          <w:top w:w="0" w:type="dxa"/>
          <w:left w:w="0" w:type="dxa"/>
          <w:bottom w:w="0" w:type="dxa"/>
          <w:right w:w="0" w:type="dxa"/>
        </w:tblCellMar>
      </w:tblPr>
      <w:tblGrid>
        <w:gridCol w:w="38"/>
        <w:gridCol w:w="166"/>
        <w:gridCol w:w="23"/>
        <w:gridCol w:w="8538"/>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8"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Successfully completed Presence Bancshares integration, including core system conversion and brand convergence.</w:t>
            </w:r>
          </w:p>
        </w:tc>
      </w:tr>
    </w:tbl>
    <w:p>
      <w:pPr>
        <w:pStyle w:val="TextBody"/>
        <w:bidi w:val="0"/>
        <w:spacing w:lineRule="auto" w:line="276" w:before="0" w:after="160"/>
        <w:ind w:left="720" w:right="720" w:hanging="0"/>
        <w:jc w:val="both"/>
        <w:rPr>
          <w:rFonts w:ascii="Aptos" w:hAnsi="Aptos"/>
          <w:sz w:val="24"/>
        </w:rPr>
      </w:pPr>
      <w:bookmarkStart w:id="4" w:name="_Hlk203652877"/>
      <w:bookmarkEnd w:id="4"/>
      <w:r>
        <w:rPr>
          <w:rFonts w:ascii="Aptos" w:hAnsi="Aptos"/>
          <w:color w:val="000000"/>
          <w:sz w:val="24"/>
        </w:rPr>
        <w:t>Honesdale, Pennsylvania – July 18, 2026 - Norwood Financial Corp (the “Company”) (Nasdaq Global Market-NWFL), the holding company of Wayne Bank, announced results for the second quarter and six months ended June 30, 2026.</w:t>
      </w:r>
      <w:r>
        <w:rPr>
          <w:rFonts w:ascii="Aptos" w:hAnsi="Aptos"/>
          <w:sz w:val="24"/>
        </w:rPr>
        <w:t xml:space="preserve"> </w:t>
      </w:r>
    </w:p>
    <w:p>
      <w:pPr>
        <w:pStyle w:val="TextBody"/>
        <w:bidi w:val="0"/>
        <w:spacing w:lineRule="auto" w:line="276" w:before="0" w:after="160"/>
        <w:ind w:left="720" w:right="720" w:hanging="0"/>
        <w:jc w:val="both"/>
        <w:rPr>
          <w:rFonts w:ascii="Aptos" w:hAnsi="Aptos"/>
          <w:sz w:val="24"/>
        </w:rPr>
      </w:pPr>
      <w:r>
        <w:rPr>
          <w:rFonts w:ascii="Aptos" w:hAnsi="Aptos"/>
          <w:color w:val="000000"/>
          <w:sz w:val="24"/>
        </w:rPr>
        <w:t>Jim Donnelly, President and Chief Executive Officer, stated, “We are pleased to announce strong second quarter results, highlighted by record net interest income, improved profitability, and continued progress following the integration of Presence Bancshares. Net interest margin expanded on both a year-over-year and linked-quarter basis, reflecting disciplined balance sheet management and the benefit of our larger franchise. We remain focused on credit quality, expense management, and long-term value creation for our shareholders as our teams continue to execute.”</w:t>
      </w:r>
      <w:r>
        <w:rPr>
          <w:rFonts w:ascii="Aptos" w:hAnsi="Aptos"/>
          <w:sz w:val="24"/>
        </w:rPr>
        <w:t xml:space="preserve"> </w:t>
      </w:r>
    </w:p>
    <w:tbl>
      <w:tblPr>
        <w:tblW w:w="8475" w:type="dxa"/>
        <w:jc w:val="left"/>
        <w:tblInd w:w="710" w:type="dxa"/>
        <w:tblLayout w:type="fixed"/>
        <w:tblCellMar>
          <w:top w:w="28" w:type="dxa"/>
          <w:left w:w="130" w:type="dxa"/>
          <w:bottom w:w="28" w:type="dxa"/>
          <w:right w:w="130" w:type="dxa"/>
        </w:tblCellMar>
      </w:tblPr>
      <w:tblGrid>
        <w:gridCol w:w="3080"/>
        <w:gridCol w:w="695"/>
        <w:gridCol w:w="695"/>
        <w:gridCol w:w="605"/>
        <w:gridCol w:w="695"/>
        <w:gridCol w:w="605"/>
        <w:gridCol w:w="695"/>
        <w:gridCol w:w="695"/>
        <w:gridCol w:w="710"/>
      </w:tblGrid>
      <w:tr>
        <w:trPr/>
        <w:tc>
          <w:tcPr>
            <w:tcW w:w="308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(dollars in thousands, except per share data)</w:t>
            </w:r>
          </w:p>
        </w:tc>
        <w:tc>
          <w:tcPr>
            <w:tcW w:w="1995" w:type="dxa"/>
            <w:gridSpan w:val="3"/>
            <w:tcBorders>
              <w:top w:val="single" w:sz="8" w:space="0" w:color="000000"/>
              <w:bottom w:val="single" w:sz="8" w:space="0" w:color="000000"/>
            </w:tcBorders>
            <w:tcMar>
              <w:left w:w="0" w:type="dxa"/>
              <w:righ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Year-Over Year</w:t>
            </w:r>
          </w:p>
        </w:tc>
        <w:tc>
          <w:tcPr>
            <w:tcW w:w="1300" w:type="dxa"/>
            <w:gridSpan w:val="2"/>
            <w:tcBorders>
              <w:top w:val="single" w:sz="8" w:space="0" w:color="000000"/>
              <w:left w:val="single" w:sz="8" w:space="0" w:color="000000"/>
              <w:bottom w:val="single" w:sz="8" w:space="0" w:color="000000"/>
            </w:tcBorders>
            <w:tcMar>
              <w:righ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Linked Quarter</w:t>
            </w:r>
          </w:p>
        </w:tc>
        <w:tc>
          <w:tcPr>
            <w:tcW w:w="210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Year-to-Date</w:t>
            </w:r>
          </w:p>
        </w:tc>
      </w:tr>
      <w:tr>
        <w:trPr/>
        <w:tc>
          <w:tcPr>
            <w:tcW w:w="308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1995"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3 Months Ended</w:t>
            </w:r>
          </w:p>
        </w:tc>
        <w:tc>
          <w:tcPr>
            <w:tcW w:w="1300" w:type="dxa"/>
            <w:gridSpan w:val="2"/>
            <w:tcBorders>
              <w:bottom w:val="single" w:sz="8" w:space="0" w:color="000000"/>
            </w:tcBorders>
            <w:tcMar>
              <w:top w:w="0" w:type="dxa"/>
              <w:left w:w="0" w:type="dxa"/>
              <w:righ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3 Months Ended</w:t>
            </w:r>
          </w:p>
        </w:tc>
        <w:tc>
          <w:tcPr>
            <w:tcW w:w="210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6 Months Ended</w:t>
            </w:r>
          </w:p>
        </w:tc>
      </w:tr>
      <w:tr>
        <w:trPr/>
        <w:tc>
          <w:tcPr>
            <w:tcW w:w="308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Jun-26</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Jun-25</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Mar-26</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Jun-26</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Jun-25</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r>
      <w:tr>
        <w:trPr/>
        <w:tc>
          <w:tcPr>
            <w:tcW w:w="30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Net interest income</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$26,839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$19,065  </w:t>
            </w:r>
          </w:p>
        </w:tc>
        <w:tc>
          <w:tcPr>
            <w:tcW w:w="60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$7,774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$24,554  </w:t>
            </w:r>
          </w:p>
        </w:tc>
        <w:tc>
          <w:tcPr>
            <w:tcW w:w="60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$2,285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$51,393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$36,923  </w:t>
            </w:r>
          </w:p>
        </w:tc>
        <w:tc>
          <w:tcPr>
            <w:tcW w:w="71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$14,470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0"/>
              <w:ind w:left="0" w:right="0" w:hanging="0"/>
              <w:jc w:val="left"/>
              <w:rPr>
                <w:rFonts w:ascii="Aptos" w:hAnsi="Aptos"/>
                <w:sz w:val="16"/>
              </w:rPr>
            </w:pPr>
            <w:r>
              <w:rPr>
                <w:rFonts w:ascii="Times New Roman" w:hAnsi="Times New Roman"/>
                <w:color w:val="000000"/>
                <w:sz w:val="16"/>
              </w:rPr>
              <w:t xml:space="preserve">Net interest spread (fte) </w:t>
            </w:r>
            <w:r>
              <w:rPr>
                <w:rFonts w:ascii="Times New Roman" w:hAnsi="Times New Roman"/>
                <w:color w:val="000000"/>
                <w:sz w:val="8"/>
              </w:rPr>
              <w:t>1</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3.27%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2.75%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52 bps</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3.04%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23 bps</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3.16%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2.68%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48 bps</w:t>
            </w:r>
          </w:p>
        </w:tc>
      </w:tr>
      <w:tr>
        <w:trPr/>
        <w:tc>
          <w:tcPr>
            <w:tcW w:w="30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lineRule="auto" w:line="240" w:before="0" w:after="0"/>
              <w:ind w:left="0" w:right="0" w:hanging="0"/>
              <w:jc w:val="left"/>
              <w:rPr>
                <w:rFonts w:ascii="Aptos" w:hAnsi="Aptos"/>
                <w:sz w:val="16"/>
              </w:rPr>
            </w:pPr>
            <w:r>
              <w:rPr>
                <w:rFonts w:ascii="Times New Roman" w:hAnsi="Times New Roman"/>
                <w:color w:val="000000"/>
                <w:sz w:val="16"/>
              </w:rPr>
              <w:t xml:space="preserve">Net interest margin (fte) </w:t>
            </w:r>
            <w:r>
              <w:rPr>
                <w:rFonts w:ascii="Times New Roman" w:hAnsi="Times New Roman"/>
                <w:color w:val="000000"/>
                <w:sz w:val="8"/>
              </w:rPr>
              <w:t>1</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3.90%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3.43%  </w:t>
            </w:r>
          </w:p>
        </w:tc>
        <w:tc>
          <w:tcPr>
            <w:tcW w:w="6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47 bps</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3.68%  </w:t>
            </w:r>
          </w:p>
        </w:tc>
        <w:tc>
          <w:tcPr>
            <w:tcW w:w="6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22 bps</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3.79%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3.37%  </w:t>
            </w:r>
          </w:p>
        </w:tc>
        <w:tc>
          <w:tcPr>
            <w:tcW w:w="7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42 bps</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0"/>
              <w:ind w:left="0" w:right="0" w:hanging="0"/>
              <w:jc w:val="left"/>
              <w:rPr>
                <w:rFonts w:ascii="Aptos" w:hAnsi="Aptos"/>
                <w:sz w:val="16"/>
              </w:rPr>
            </w:pPr>
            <w:r>
              <w:rPr>
                <w:rFonts w:ascii="Times New Roman" w:hAnsi="Times New Roman"/>
                <w:color w:val="000000"/>
                <w:sz w:val="16"/>
              </w:rPr>
              <w:t xml:space="preserve">Pre Provision Net Revenue (PPNR) </w:t>
            </w:r>
            <w:r>
              <w:rPr>
                <w:rFonts w:ascii="Times New Roman" w:hAnsi="Times New Roman"/>
                <w:color w:val="000000"/>
                <w:sz w:val="8"/>
              </w:rPr>
              <w:t>1</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$13,573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$8,782  </w:t>
            </w:r>
          </w:p>
        </w:tc>
        <w:tc>
          <w:tcPr>
            <w:tcW w:w="60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$4,791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$6,279  </w:t>
            </w:r>
          </w:p>
        </w:tc>
        <w:tc>
          <w:tcPr>
            <w:tcW w:w="60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$7,294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$19,852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$16,927  </w:t>
            </w:r>
          </w:p>
        </w:tc>
        <w:tc>
          <w:tcPr>
            <w:tcW w:w="7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$2,925  </w:t>
            </w:r>
          </w:p>
        </w:tc>
      </w:tr>
      <w:tr>
        <w:trPr/>
        <w:tc>
          <w:tcPr>
            <w:tcW w:w="30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Net income</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$9,328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$6,205  </w:t>
            </w:r>
          </w:p>
        </w:tc>
        <w:tc>
          <w:tcPr>
            <w:tcW w:w="60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$3,123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$3,730  </w:t>
            </w:r>
          </w:p>
        </w:tc>
        <w:tc>
          <w:tcPr>
            <w:tcW w:w="60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$5,598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$13,058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$11,978  </w:t>
            </w:r>
          </w:p>
        </w:tc>
        <w:tc>
          <w:tcPr>
            <w:tcW w:w="710"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$1,080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Diluted earnings per share</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$0.86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$0.67  </w:t>
            </w:r>
          </w:p>
        </w:tc>
        <w:tc>
          <w:tcPr>
            <w:tcW w:w="60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$0.19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$0.35  </w:t>
            </w:r>
          </w:p>
        </w:tc>
        <w:tc>
          <w:tcPr>
            <w:tcW w:w="60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$0.51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$1.21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$1.30  </w:t>
            </w:r>
          </w:p>
        </w:tc>
        <w:tc>
          <w:tcPr>
            <w:tcW w:w="7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$(0.09) </w:t>
            </w:r>
          </w:p>
        </w:tc>
      </w:tr>
      <w:tr>
        <w:trPr/>
        <w:tc>
          <w:tcPr>
            <w:tcW w:w="3080"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Return on average assets</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1.28%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1.06%  </w:t>
            </w:r>
          </w:p>
        </w:tc>
        <w:tc>
          <w:tcPr>
            <w:tcW w:w="6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22 bps</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0.53%  </w:t>
            </w:r>
          </w:p>
        </w:tc>
        <w:tc>
          <w:tcPr>
            <w:tcW w:w="60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75 bps</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0.91%  </w:t>
            </w:r>
          </w:p>
        </w:tc>
        <w:tc>
          <w:tcPr>
            <w:tcW w:w="695" w:type="dxa"/>
            <w:tcBorders>
              <w:bottom w:val="single" w:sz="8" w:space="0" w:color="000000"/>
              <w:right w:val="single" w:sz="8" w:space="0" w:color="000000"/>
            </w:tcBorders>
            <w:shd w:fill="CCEEFF" w:val="clear"/>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1.03%  </w:t>
            </w:r>
          </w:p>
        </w:tc>
        <w:tc>
          <w:tcPr>
            <w:tcW w:w="71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(12 bps)</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Return on tangible equity</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15.04%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12.83%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221 bps</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6.04%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900 bps</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10.55%  </w:t>
            </w:r>
          </w:p>
        </w:tc>
        <w:tc>
          <w:tcPr>
            <w:tcW w:w="6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12.62%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(207 bps)</w:t>
            </w:r>
          </w:p>
        </w:tc>
      </w:tr>
    </w:tbl>
    <w:p>
      <w:pPr>
        <w:pStyle w:val="TextBody"/>
        <w:bidi w:val="0"/>
        <w:spacing w:lineRule="auto" w:line="276" w:before="0" w:after="160"/>
        <w:ind w:left="720" w:right="720" w:hanging="0"/>
        <w:jc w:val="both"/>
        <w:rPr>
          <w:rFonts w:cs="Aptos"/>
          <w:szCs w:val="24"/>
        </w:rPr>
      </w:pPr>
      <w:r>
        <w:rPr>
          <w:rFonts w:cs="Times New Roman"/>
          <w:color w:val="000000"/>
          <w:szCs w:val="24"/>
        </w:rPr>
        <w:t>﻿</w:t>
      </w: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430" w:type="dxa"/>
        <w:jc w:val="left"/>
        <w:tblInd w:w="720" w:type="dxa"/>
        <w:tblLayout w:type="fixed"/>
        <w:tblCellMar>
          <w:top w:w="0" w:type="dxa"/>
          <w:left w:w="0" w:type="dxa"/>
          <w:bottom w:w="0" w:type="dxa"/>
          <w:right w:w="0" w:type="dxa"/>
        </w:tblCellMar>
      </w:tblPr>
      <w:tblGrid>
        <w:gridCol w:w="3080"/>
        <w:gridCol w:w="695"/>
        <w:gridCol w:w="650"/>
        <w:gridCol w:w="605"/>
        <w:gridCol w:w="695"/>
        <w:gridCol w:w="605"/>
        <w:gridCol w:w="695"/>
        <w:gridCol w:w="695"/>
        <w:gridCol w:w="710"/>
      </w:tblGrid>
      <w:tr>
        <w:trPr/>
        <w:tc>
          <w:tcPr>
            <w:tcW w:w="8430" w:type="dxa"/>
            <w:gridSpan w:val="9"/>
            <w:tcBorders/>
            <w:vAlign w:val="center"/>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Excluding merger-related expenses and 2026 BOLI Restructuring Fees (see Non-GAAP reconciliations)</w:t>
            </w:r>
          </w:p>
        </w:tc>
      </w:tr>
      <w:tr>
        <w:trPr/>
        <w:tc>
          <w:tcPr>
            <w:tcW w:w="3080" w:type="dxa"/>
            <w:vMerge w:val="restart"/>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(dollars in thousands, except per share data)</w:t>
            </w:r>
          </w:p>
        </w:tc>
        <w:tc>
          <w:tcPr>
            <w:tcW w:w="1950"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Year-Over Year</w:t>
            </w:r>
          </w:p>
        </w:tc>
        <w:tc>
          <w:tcPr>
            <w:tcW w:w="1300" w:type="dxa"/>
            <w:gridSpan w:val="2"/>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Linked Quarter</w:t>
            </w:r>
          </w:p>
        </w:tc>
        <w:tc>
          <w:tcPr>
            <w:tcW w:w="2100" w:type="dxa"/>
            <w:gridSpan w:val="3"/>
            <w:tcBorders>
              <w:top w:val="single" w:sz="8" w:space="0" w:color="000000"/>
              <w:bottom w:val="single" w:sz="8" w:space="0" w:color="000000"/>
              <w:right w:val="single" w:sz="8" w:space="0" w:color="000000"/>
            </w:tcBorders>
            <w:tcMar>
              <w:top w:w="28" w:type="dxa"/>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Year-to-Date</w:t>
            </w:r>
          </w:p>
        </w:tc>
      </w:tr>
      <w:tr>
        <w:trPr/>
        <w:tc>
          <w:tcPr>
            <w:tcW w:w="3080" w:type="dxa"/>
            <w:vMerge w:val="continue"/>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vAlign w:val="center"/>
          </w:tcPr>
          <w:p>
            <w:pPr>
              <w:pStyle w:val="Normal"/>
              <w:bidi w:val="0"/>
              <w:jc w:val="left"/>
              <w:rPr/>
            </w:pPr>
            <w:r>
              <w:rPr/>
            </w:r>
          </w:p>
        </w:tc>
        <w:tc>
          <w:tcPr>
            <w:tcW w:w="1950" w:type="dxa"/>
            <w:gridSpan w:val="3"/>
            <w:tcBorders>
              <w:top w:val="single" w:sz="8" w:space="0" w:color="000000"/>
              <w:bottom w:val="single" w:sz="8" w:space="0" w:color="000000"/>
              <w:right w:val="single" w:sz="8" w:space="0" w:color="000000"/>
            </w:tcBorders>
            <w:tcMar>
              <w:top w:w="28" w:type="dxa"/>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3 Months Ended</w:t>
            </w:r>
          </w:p>
        </w:tc>
        <w:tc>
          <w:tcPr>
            <w:tcW w:w="1300" w:type="dxa"/>
            <w:gridSpan w:val="2"/>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3 Months Ended</w:t>
            </w:r>
          </w:p>
        </w:tc>
        <w:tc>
          <w:tcPr>
            <w:tcW w:w="2100" w:type="dxa"/>
            <w:gridSpan w:val="3"/>
            <w:tcBorders>
              <w:top w:val="single" w:sz="8" w:space="0" w:color="000000"/>
              <w:bottom w:val="single" w:sz="8" w:space="0" w:color="000000"/>
              <w:right w:val="single" w:sz="8" w:space="0" w:color="000000"/>
            </w:tcBorders>
            <w:tcMar>
              <w:top w:w="28" w:type="dxa"/>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6 Months Ended</w:t>
            </w:r>
          </w:p>
        </w:tc>
      </w:tr>
      <w:tr>
        <w:trPr/>
        <w:tc>
          <w:tcPr>
            <w:tcW w:w="3080" w:type="dxa"/>
            <w:vMerge w:val="continue"/>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vAlign w:val="center"/>
          </w:tcPr>
          <w:p>
            <w:pPr>
              <w:pStyle w:val="Normal"/>
              <w:bidi w:val="0"/>
              <w:jc w:val="left"/>
              <w:rPr/>
            </w:pPr>
            <w:r>
              <w:rPr/>
            </w:r>
          </w:p>
        </w:tc>
        <w:tc>
          <w:tcPr>
            <w:tcW w:w="69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Jun-26</w:t>
            </w:r>
          </w:p>
        </w:tc>
        <w:tc>
          <w:tcPr>
            <w:tcW w:w="650"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Jun-25</w:t>
            </w:r>
          </w:p>
        </w:tc>
        <w:tc>
          <w:tcPr>
            <w:tcW w:w="60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c>
          <w:tcPr>
            <w:tcW w:w="69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Mar-26</w:t>
            </w:r>
          </w:p>
        </w:tc>
        <w:tc>
          <w:tcPr>
            <w:tcW w:w="60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c>
          <w:tcPr>
            <w:tcW w:w="69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Jun-26</w:t>
            </w:r>
          </w:p>
        </w:tc>
        <w:tc>
          <w:tcPr>
            <w:tcW w:w="69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Jun-25</w:t>
            </w:r>
          </w:p>
        </w:tc>
        <w:tc>
          <w:tcPr>
            <w:tcW w:w="710"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Change</w:t>
            </w:r>
          </w:p>
        </w:tc>
      </w:tr>
      <w:tr>
        <w:trPr/>
        <w:tc>
          <w:tcPr>
            <w:tcW w:w="3080" w:type="dxa"/>
            <w:tcBorders>
              <w:left w:val="single" w:sz="8" w:space="0" w:color="000000"/>
              <w:bottom w:val="single" w:sz="8" w:space="0" w:color="000000"/>
              <w:right w:val="single" w:sz="8" w:space="0" w:color="000000"/>
            </w:tcBorders>
            <w:shd w:fill="CCEEFF" w:val="clear"/>
            <w:tcMar>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Pre Provision Net Revenue (PPNR)</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$13,626  </w:t>
            </w:r>
          </w:p>
        </w:tc>
        <w:tc>
          <w:tcPr>
            <w:tcW w:w="65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$8,932  </w:t>
            </w:r>
          </w:p>
        </w:tc>
        <w:tc>
          <w:tcPr>
            <w:tcW w:w="60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$4,694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$11,445  </w:t>
            </w:r>
          </w:p>
        </w:tc>
        <w:tc>
          <w:tcPr>
            <w:tcW w:w="60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$2,181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$25,071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$8,932  </w:t>
            </w:r>
          </w:p>
        </w:tc>
        <w:tc>
          <w:tcPr>
            <w:tcW w:w="71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$16,139  </w:t>
            </w:r>
          </w:p>
        </w:tc>
      </w:tr>
      <w:tr>
        <w:trPr/>
        <w:tc>
          <w:tcPr>
            <w:tcW w:w="3080" w:type="dxa"/>
            <w:tcBorders>
              <w:left w:val="single" w:sz="8" w:space="0" w:color="000000"/>
              <w:bottom w:val="single" w:sz="8" w:space="0" w:color="000000"/>
              <w:right w:val="single" w:sz="8" w:space="0" w:color="000000"/>
            </w:tcBorders>
            <w:tcMar>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Net income</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$9,370  </w:t>
            </w:r>
          </w:p>
        </w:tc>
        <w:tc>
          <w:tcPr>
            <w:tcW w:w="6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$6,324  </w:t>
            </w:r>
          </w:p>
        </w:tc>
        <w:tc>
          <w:tcPr>
            <w:tcW w:w="60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$3,046  </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$7,811  </w:t>
            </w:r>
          </w:p>
        </w:tc>
        <w:tc>
          <w:tcPr>
            <w:tcW w:w="60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$1,559  </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$17,181  </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$12,097  </w:t>
            </w:r>
          </w:p>
        </w:tc>
        <w:tc>
          <w:tcPr>
            <w:tcW w:w="71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$5,085  </w:t>
            </w:r>
          </w:p>
        </w:tc>
      </w:tr>
      <w:tr>
        <w:trPr/>
        <w:tc>
          <w:tcPr>
            <w:tcW w:w="3080" w:type="dxa"/>
            <w:tcBorders>
              <w:left w:val="single" w:sz="8" w:space="0" w:color="000000"/>
              <w:bottom w:val="single" w:sz="8" w:space="0" w:color="000000"/>
              <w:right w:val="single" w:sz="8" w:space="0" w:color="000000"/>
            </w:tcBorders>
            <w:shd w:fill="CCEEFF" w:val="clear"/>
            <w:tcMar>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Diluted earnings per share</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$0.86  </w:t>
            </w:r>
          </w:p>
        </w:tc>
        <w:tc>
          <w:tcPr>
            <w:tcW w:w="65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$0.69  </w:t>
            </w:r>
          </w:p>
        </w:tc>
        <w:tc>
          <w:tcPr>
            <w:tcW w:w="60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$0.17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$0.72  </w:t>
            </w:r>
          </w:p>
        </w:tc>
        <w:tc>
          <w:tcPr>
            <w:tcW w:w="60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$0.14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$1.59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$1.31  </w:t>
            </w:r>
          </w:p>
        </w:tc>
        <w:tc>
          <w:tcPr>
            <w:tcW w:w="71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$0.28  </w:t>
            </w:r>
          </w:p>
        </w:tc>
      </w:tr>
      <w:tr>
        <w:trPr/>
        <w:tc>
          <w:tcPr>
            <w:tcW w:w="3080" w:type="dxa"/>
            <w:tcBorders>
              <w:left w:val="single" w:sz="8" w:space="0" w:color="000000"/>
              <w:bottom w:val="single" w:sz="8" w:space="0" w:color="000000"/>
              <w:right w:val="single" w:sz="8" w:space="0" w:color="000000"/>
            </w:tcBorders>
            <w:tcMar>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Return on average assets</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1.29%  </w:t>
            </w:r>
          </w:p>
        </w:tc>
        <w:tc>
          <w:tcPr>
            <w:tcW w:w="6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  </w:t>
            </w:r>
          </w:p>
        </w:tc>
        <w:tc>
          <w:tcPr>
            <w:tcW w:w="60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21 bps</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1.10%  </w:t>
            </w:r>
          </w:p>
        </w:tc>
        <w:tc>
          <w:tcPr>
            <w:tcW w:w="605"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19bps</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1.20%  </w:t>
            </w:r>
          </w:p>
        </w:tc>
        <w:tc>
          <w:tcPr>
            <w:tcW w:w="6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1.04%  </w:t>
            </w:r>
          </w:p>
        </w:tc>
        <w:tc>
          <w:tcPr>
            <w:tcW w:w="710" w:type="dxa"/>
            <w:tcBorders>
              <w:bottom w:val="single" w:sz="8" w:space="0" w:color="000000"/>
              <w:right w:val="single" w:sz="8" w:space="0" w:color="000000"/>
            </w:tcBorders>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16bps</w:t>
            </w:r>
          </w:p>
        </w:tc>
      </w:tr>
      <w:tr>
        <w:trPr/>
        <w:tc>
          <w:tcPr>
            <w:tcW w:w="3080" w:type="dxa"/>
            <w:tcBorders>
              <w:left w:val="single" w:sz="8" w:space="0" w:color="000000"/>
              <w:bottom w:val="single" w:sz="8" w:space="0" w:color="000000"/>
              <w:right w:val="single" w:sz="8" w:space="0" w:color="000000"/>
            </w:tcBorders>
            <w:shd w:fill="CCEEFF" w:val="clear"/>
            <w:tcMar>
              <w:left w:w="130" w:type="dxa"/>
              <w:bottom w:w="28" w:type="dxa"/>
              <w:right w:w="130"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Return on average tangible equity</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15.11%  </w:t>
            </w:r>
          </w:p>
        </w:tc>
        <w:tc>
          <w:tcPr>
            <w:tcW w:w="65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13.08%  </w:t>
            </w:r>
          </w:p>
        </w:tc>
        <w:tc>
          <w:tcPr>
            <w:tcW w:w="605" w:type="dxa"/>
            <w:tcBorders>
              <w:bottom w:val="single" w:sz="8" w:space="0" w:color="000000"/>
              <w:right w:val="single" w:sz="8" w:space="0" w:color="000000"/>
            </w:tcBorders>
            <w:shd w:fill="CCEEFF" w:val="clear"/>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203 bps</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12.65%  </w:t>
            </w:r>
          </w:p>
        </w:tc>
        <w:tc>
          <w:tcPr>
            <w:tcW w:w="605" w:type="dxa"/>
            <w:tcBorders>
              <w:bottom w:val="single" w:sz="8" w:space="0" w:color="000000"/>
              <w:right w:val="single" w:sz="8" w:space="0" w:color="000000"/>
            </w:tcBorders>
            <w:shd w:fill="CCEEFF" w:val="clear"/>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246 bps</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13.88%  </w:t>
            </w:r>
          </w:p>
        </w:tc>
        <w:tc>
          <w:tcPr>
            <w:tcW w:w="695"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12.75%  </w:t>
            </w:r>
          </w:p>
        </w:tc>
        <w:tc>
          <w:tcPr>
            <w:tcW w:w="710" w:type="dxa"/>
            <w:tcBorders>
              <w:bottom w:val="single" w:sz="8" w:space="0" w:color="000000"/>
              <w:right w:val="single" w:sz="8" w:space="0" w:color="000000"/>
            </w:tcBorders>
            <w:shd w:fill="CCEEFF" w:val="clear"/>
            <w:tcMar>
              <w:bottom w:w="28" w:type="dxa"/>
              <w:right w:w="130" w:type="dxa"/>
            </w:tcMar>
            <w:vAlign w:val="center"/>
          </w:tcPr>
          <w:p>
            <w:pPr>
              <w:pStyle w:val="TableContents"/>
              <w:bidi w:val="0"/>
              <w:spacing w:lineRule="auto" w:line="240" w:before="0" w:after="0"/>
              <w:ind w:left="0" w:right="0" w:hanging="0"/>
              <w:jc w:val="right"/>
              <w:rPr>
                <w:rFonts w:ascii="Times New Roman" w:hAnsi="Times New Roman"/>
                <w:color w:val="000000"/>
                <w:sz w:val="16"/>
              </w:rPr>
            </w:pPr>
            <w:r>
              <w:rPr>
                <w:rFonts w:ascii="Times New Roman" w:hAnsi="Times New Roman"/>
                <w:color w:val="000000"/>
                <w:sz w:val="16"/>
              </w:rPr>
              <w:t>126 bps</w:t>
            </w:r>
          </w:p>
        </w:tc>
      </w:tr>
    </w:tbl>
    <w:p>
      <w:pPr>
        <w:pStyle w:val="TextBody"/>
        <w:bidi w:val="0"/>
        <w:spacing w:lineRule="auto" w:line="276" w:before="0" w:after="160"/>
        <w:ind w:left="720" w:right="720" w:hanging="0"/>
        <w:jc w:val="both"/>
        <w:rPr>
          <w:rFonts w:cs="Aptos"/>
          <w:szCs w:val="24"/>
        </w:rPr>
      </w:pPr>
      <w:r>
        <w:rPr>
          <w:rFonts w:cs="Times New Roman"/>
          <w:color w:val="000000"/>
          <w:szCs w:val="24"/>
        </w:rPr>
        <w:t>﻿</w:t>
      </w:r>
      <w:r>
        <w:rPr>
          <w:rFonts w:cs="Aptos"/>
          <w:szCs w:val="24"/>
        </w:rPr>
        <w:t xml:space="preserve"> </w:t>
      </w:r>
    </w:p>
    <w:p>
      <w:pPr>
        <w:pStyle w:val="TextBody"/>
        <w:bidi w:val="0"/>
        <w:spacing w:lineRule="auto" w:line="276" w:before="0" w:after="160"/>
        <w:ind w:left="720" w:right="720" w:hanging="0"/>
        <w:jc w:val="left"/>
        <w:rPr>
          <w:rFonts w:ascii="Aptos" w:hAnsi="Aptos"/>
          <w:sz w:val="24"/>
        </w:rPr>
      </w:pPr>
      <w:r>
        <w:rPr>
          <w:rFonts w:ascii="Aptos" w:hAnsi="Aptos"/>
          <w:b/>
          <w:color w:val="000000"/>
          <w:sz w:val="24"/>
        </w:rPr>
        <w:t>Discussion of financial results for the three months ended June 30, 2026 (all comparisons are to second quarter 2025, unless otherwise noted):</w:t>
      </w:r>
      <w:r>
        <w:rPr>
          <w:rFonts w:ascii="Aptos" w:hAnsi="Aptos"/>
          <w:sz w:val="24"/>
        </w:rPr>
        <w:t xml:space="preserve"> </w:t>
      </w:r>
    </w:p>
    <w:tbl>
      <w:tblPr>
        <w:tblW w:w="8765" w:type="dxa"/>
        <w:jc w:val="left"/>
        <w:tblInd w:w="720" w:type="dxa"/>
        <w:tblLayout w:type="fixed"/>
        <w:tblCellMar>
          <w:top w:w="0" w:type="dxa"/>
          <w:left w:w="0" w:type="dxa"/>
          <w:bottom w:w="0" w:type="dxa"/>
          <w:right w:w="0" w:type="dxa"/>
        </w:tblCellMar>
      </w:tblPr>
      <w:tblGrid>
        <w:gridCol w:w="38"/>
        <w:gridCol w:w="161"/>
        <w:gridCol w:w="23"/>
        <w:gridCol w:w="854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3"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Net income was $9.3 million, an increase of $3.1 million from $6.2 million. Diluted earnings per share were $0.86 compared to $0.67.</w:t>
            </w:r>
          </w:p>
        </w:tc>
      </w:tr>
    </w:tbl>
    <w:tbl>
      <w:tblPr>
        <w:tblW w:w="8765" w:type="dxa"/>
        <w:jc w:val="left"/>
        <w:tblInd w:w="720" w:type="dxa"/>
        <w:tblLayout w:type="fixed"/>
        <w:tblCellMar>
          <w:top w:w="0" w:type="dxa"/>
          <w:left w:w="0" w:type="dxa"/>
          <w:bottom w:w="0" w:type="dxa"/>
          <w:right w:w="0" w:type="dxa"/>
        </w:tblCellMar>
      </w:tblPr>
      <w:tblGrid>
        <w:gridCol w:w="38"/>
        <w:gridCol w:w="151"/>
        <w:gridCol w:w="23"/>
        <w:gridCol w:w="855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3"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Net interest income was $26.8 million, an increase of $7.8 million from $19.1 million. On a linked-quarter basis, net interest income increased $2.3 million from $24.6 million.</w:t>
            </w:r>
          </w:p>
        </w:tc>
      </w:tr>
    </w:tbl>
    <w:tbl>
      <w:tblPr>
        <w:tblW w:w="8765" w:type="dxa"/>
        <w:jc w:val="left"/>
        <w:tblInd w:w="720" w:type="dxa"/>
        <w:tblLayout w:type="fixed"/>
        <w:tblCellMar>
          <w:top w:w="0" w:type="dxa"/>
          <w:left w:w="0" w:type="dxa"/>
          <w:bottom w:w="0" w:type="dxa"/>
          <w:right w:w="0" w:type="dxa"/>
        </w:tblCellMar>
      </w:tblPr>
      <w:tblGrid>
        <w:gridCol w:w="38"/>
        <w:gridCol w:w="157"/>
        <w:gridCol w:w="23"/>
        <w:gridCol w:w="8547"/>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7"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Net interest margin (fully taxable equivalent) was 3.90% compared to 3.43%. On a linked-quarter basis, NIM increased 22 basis points from 3.68%.</w:t>
            </w:r>
          </w:p>
        </w:tc>
      </w:tr>
    </w:tbl>
    <w:tbl>
      <w:tblPr>
        <w:tblW w:w="8765" w:type="dxa"/>
        <w:jc w:val="left"/>
        <w:tblInd w:w="720" w:type="dxa"/>
        <w:tblLayout w:type="fixed"/>
        <w:tblCellMar>
          <w:top w:w="0" w:type="dxa"/>
          <w:left w:w="0" w:type="dxa"/>
          <w:bottom w:w="0" w:type="dxa"/>
          <w:right w:w="0" w:type="dxa"/>
        </w:tblCellMar>
      </w:tblPr>
      <w:tblGrid>
        <w:gridCol w:w="38"/>
        <w:gridCol w:w="158"/>
        <w:gridCol w:w="23"/>
        <w:gridCol w:w="8546"/>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6"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 xml:space="preserve">Pre-provision net revenue (PPNR) was $13.6 million, compared to $8.8 million in the prior-year quarter and $6.3 million in the linked quarter. </w:t>
            </w:r>
          </w:p>
        </w:tc>
      </w:tr>
    </w:tbl>
    <w:tbl>
      <w:tblPr>
        <w:tblW w:w="8765" w:type="dxa"/>
        <w:jc w:val="left"/>
        <w:tblInd w:w="720" w:type="dxa"/>
        <w:tblLayout w:type="fixed"/>
        <w:tblCellMar>
          <w:top w:w="0" w:type="dxa"/>
          <w:left w:w="0" w:type="dxa"/>
          <w:bottom w:w="0" w:type="dxa"/>
          <w:right w:w="0" w:type="dxa"/>
        </w:tblCellMar>
      </w:tblPr>
      <w:tblGrid>
        <w:gridCol w:w="38"/>
        <w:gridCol w:w="188"/>
        <w:gridCol w:w="23"/>
        <w:gridCol w:w="8516"/>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6"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Total assets were $2.908 billion, compared to $2.365 billion, an increase of 22.9%.</w:t>
            </w:r>
          </w:p>
        </w:tc>
      </w:tr>
    </w:tbl>
    <w:tbl>
      <w:tblPr>
        <w:tblW w:w="8765" w:type="dxa"/>
        <w:jc w:val="left"/>
        <w:tblInd w:w="720" w:type="dxa"/>
        <w:tblLayout w:type="fixed"/>
        <w:tblCellMar>
          <w:top w:w="0" w:type="dxa"/>
          <w:left w:w="0" w:type="dxa"/>
          <w:bottom w:w="0" w:type="dxa"/>
          <w:right w:w="0" w:type="dxa"/>
        </w:tblCellMar>
      </w:tblPr>
      <w:tblGrid>
        <w:gridCol w:w="38"/>
        <w:gridCol w:w="184"/>
        <w:gridCol w:w="23"/>
        <w:gridCol w:w="8520"/>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20"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Loans receivable were $2.263 billion compared to $1.791 billion, an increase of 26.4%.</w:t>
            </w:r>
          </w:p>
        </w:tc>
      </w:tr>
    </w:tbl>
    <w:tbl>
      <w:tblPr>
        <w:tblW w:w="8765" w:type="dxa"/>
        <w:jc w:val="left"/>
        <w:tblInd w:w="720" w:type="dxa"/>
        <w:tblLayout w:type="fixed"/>
        <w:tblCellMar>
          <w:top w:w="0" w:type="dxa"/>
          <w:left w:w="0" w:type="dxa"/>
          <w:bottom w:w="0" w:type="dxa"/>
          <w:right w:w="0" w:type="dxa"/>
        </w:tblCellMar>
      </w:tblPr>
      <w:tblGrid>
        <w:gridCol w:w="38"/>
        <w:gridCol w:w="186"/>
        <w:gridCol w:w="23"/>
        <w:gridCol w:w="8518"/>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18"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Total deposits were $2.514 billion compared to $1.998 billion, an increase of 25.8%.</w:t>
            </w:r>
          </w:p>
        </w:tc>
      </w:tr>
    </w:tbl>
    <w:tbl>
      <w:tblPr>
        <w:tblW w:w="8765" w:type="dxa"/>
        <w:jc w:val="left"/>
        <w:tblInd w:w="720" w:type="dxa"/>
        <w:tblLayout w:type="fixed"/>
        <w:tblCellMar>
          <w:top w:w="0" w:type="dxa"/>
          <w:left w:w="0" w:type="dxa"/>
          <w:bottom w:w="0" w:type="dxa"/>
          <w:right w:w="0" w:type="dxa"/>
        </w:tblCellMar>
      </w:tblPr>
      <w:tblGrid>
        <w:gridCol w:w="38"/>
        <w:gridCol w:w="158"/>
        <w:gridCol w:w="23"/>
        <w:gridCol w:w="8546"/>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6"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Tangible book value per share was $22.96 compared to $21.17 at June 30, 2025, and increased $0.54 on a linked-quarter basis from $22.43.</w:t>
            </w:r>
          </w:p>
        </w:tc>
      </w:tr>
    </w:tbl>
    <w:tbl>
      <w:tblPr>
        <w:tblW w:w="8765" w:type="dxa"/>
        <w:jc w:val="left"/>
        <w:tblInd w:w="720" w:type="dxa"/>
        <w:tblLayout w:type="fixed"/>
        <w:tblCellMar>
          <w:top w:w="0" w:type="dxa"/>
          <w:left w:w="0" w:type="dxa"/>
          <w:bottom w:w="0" w:type="dxa"/>
          <w:right w:w="0" w:type="dxa"/>
        </w:tblCellMar>
      </w:tblPr>
      <w:tblGrid>
        <w:gridCol w:w="38"/>
        <w:gridCol w:w="154"/>
        <w:gridCol w:w="23"/>
        <w:gridCol w:w="855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76" w:before="0" w:after="160"/>
              <w:ind w:left="0" w:right="0" w:hanging="0"/>
              <w:jc w:val="left"/>
              <w:rPr>
                <w:rFonts w:ascii="Aptos" w:hAnsi="Aptos"/>
                <w:sz w:val="24"/>
              </w:rPr>
            </w:pPr>
            <w:r>
              <w:rPr>
                <w:rFonts w:ascii="Symbol" w:hAnsi="Symbol"/>
                <w:sz w:val="24"/>
              </w:rPr>
              <w:t>·</w:t>
            </w:r>
            <w:r>
              <w:rPr>
                <w:rFonts w:ascii="Aptos" w:hAnsi="Aptos"/>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0" w:type="dxa"/>
            <w:tcBorders/>
          </w:tcPr>
          <w:p>
            <w:pPr>
              <w:pStyle w:val="TableContents"/>
              <w:pBdr/>
              <w:bidi w:val="0"/>
              <w:spacing w:lineRule="auto" w:line="276" w:before="0" w:after="0"/>
              <w:ind w:left="0" w:right="0" w:hanging="0"/>
              <w:jc w:val="left"/>
              <w:rPr>
                <w:rFonts w:ascii="Aptos" w:hAnsi="Aptos"/>
                <w:color w:val="000000"/>
                <w:sz w:val="24"/>
              </w:rPr>
            </w:pPr>
            <w:r>
              <w:rPr>
                <w:rFonts w:ascii="Aptos" w:hAnsi="Aptos"/>
                <w:color w:val="000000"/>
                <w:sz w:val="24"/>
              </w:rPr>
              <w:t>Allowance for credit losses to total loans was 1.13%. Nonperforming loans to total loans were 1.23% and nonperforming assets to total assets were 0.98%.</w:t>
            </w:r>
          </w:p>
        </w:tc>
      </w:tr>
    </w:tbl>
    <w:p>
      <w:pPr>
        <w:pStyle w:val="TextBody"/>
        <w:bidi w:val="0"/>
        <w:spacing w:lineRule="auto" w:line="276" w:before="0" w:after="160"/>
        <w:ind w:left="720" w:right="720" w:hanging="0"/>
        <w:jc w:val="left"/>
        <w:rPr>
          <w:rFonts w:ascii="Aptos" w:hAnsi="Aptos"/>
          <w:sz w:val="24"/>
        </w:rPr>
      </w:pPr>
      <w:r>
        <w:rPr>
          <w:rFonts w:ascii="Aptos" w:hAnsi="Aptos"/>
          <w:b/>
          <w:color w:val="000000"/>
          <w:sz w:val="24"/>
        </w:rPr>
        <w:t>Credit Quality</w:t>
      </w:r>
      <w:r>
        <w:rPr>
          <w:rFonts w:ascii="Aptos" w:hAnsi="Aptos"/>
          <w:sz w:val="24"/>
        </w:rPr>
        <w:t xml:space="preserve"> </w:t>
      </w:r>
    </w:p>
    <w:p>
      <w:pPr>
        <w:pStyle w:val="TextBody"/>
        <w:bidi w:val="0"/>
        <w:spacing w:lineRule="auto" w:line="276" w:before="0" w:after="160"/>
        <w:ind w:left="720" w:right="720" w:hanging="0"/>
        <w:jc w:val="both"/>
        <w:rPr>
          <w:rFonts w:ascii="Aptos" w:hAnsi="Aptos"/>
          <w:sz w:val="24"/>
        </w:rPr>
      </w:pPr>
      <w:r>
        <w:rPr>
          <w:rFonts w:ascii="Aptos" w:hAnsi="Aptos"/>
          <w:color w:val="000000"/>
          <w:sz w:val="24"/>
        </w:rPr>
        <w:t>During the second quarter of 2026, the Company recorded net charge-offs of approximately $1.4 million, including a $729 thousand charge-off related to a previously disclosed borrower relationship that filed for Chapter 11 bankruptcy protection during June 2026. The relationship consists of five loans to four borrower entities with aggregate exposure of approximately $22 million to the Bank and is primarily secured by commercial real estate. The Company continues to evaluate the potential loss exposure associated with the relationship, monitor the bankruptcy proceedings, and assess underlying collateral values. Management believes the allowance for credit losses remains appropriate based on information currently available.</w:t>
      </w:r>
      <w:r>
        <w:rPr>
          <w:rFonts w:ascii="Aptos" w:hAnsi="Aptos"/>
          <w:sz w:val="24"/>
        </w:rPr>
        <w:t xml:space="preserve"> </w:t>
      </w:r>
    </w:p>
    <w:p>
      <w:pPr>
        <w:pStyle w:val="TextBody"/>
        <w:bidi w:val="0"/>
        <w:spacing w:lineRule="auto" w:line="240" w:before="0" w:after="0"/>
        <w:ind w:left="720" w:right="720" w:hanging="0"/>
        <w:jc w:val="left"/>
        <w:rPr>
          <w:rFonts w:ascii="Aptos" w:hAnsi="Aptos"/>
          <w:b/>
          <w:color w:val="000000"/>
          <w:sz w:val="24"/>
        </w:rPr>
      </w:pPr>
      <w:r>
        <w:rPr>
          <w:rFonts w:ascii="Aptos" w:hAnsi="Aptos"/>
          <w:b/>
          <w:color w:val="000000"/>
          <w:sz w:val="24"/>
        </w:rPr>
        <w:t>About Norwood Financial Corp </w:t>
      </w:r>
    </w:p>
    <w:p>
      <w:pPr>
        <w:pStyle w:val="TextBody"/>
        <w:bidi w:val="0"/>
        <w:spacing w:lineRule="auto" w:line="240" w:before="0" w:after="0"/>
        <w:ind w:left="720" w:right="720" w:hanging="0"/>
        <w:jc w:val="left"/>
        <w:rPr>
          <w:rFonts w:ascii="Aptos" w:hAnsi="Aptos"/>
          <w:sz w:val="24"/>
        </w:rPr>
      </w:pPr>
      <w:r>
        <w:rPr>
          <w:rFonts w:ascii="Aptos" w:hAnsi="Aptos"/>
          <w:color w:val="000000"/>
          <w:sz w:val="24"/>
        </w:rPr>
        <w:t>Norwood Financial Corp, through its subsidiary, Wayne Bank operates 33 Community Offices serving Wayne, Pike, Monroe, Lackawanna, Luzerne, Chester, Cumberland, and Lancaster Counties in Pennsylvania, along with Delaware, Sullivan, Otsego, Ontario, and Yates Counties in New York. The Company has total assets of $2.9 billion. The Company’s stock is traded on the Nasdaq Global Market under the symbol “NWFL”. For more information, visit wayne.bank.</w:t>
      </w:r>
      <w:r>
        <w:rPr>
          <w:rFonts w:ascii="Aptos" w:hAnsi="Aptos"/>
          <w:sz w:val="24"/>
        </w:rPr>
        <w:t xml:space="preserve"> </w:t>
      </w:r>
    </w:p>
    <w:p>
      <w:pPr>
        <w:pStyle w:val="TextBody"/>
        <w:bidi w:val="0"/>
        <w:spacing w:lineRule="auto" w:line="240" w:before="0" w:after="0"/>
        <w:ind w:left="720" w:right="720" w:hanging="0"/>
        <w:jc w:val="left"/>
        <w:rPr>
          <w:rFonts w:cs="Aptos"/>
          <w:szCs w:val="24"/>
        </w:rPr>
      </w:pPr>
      <w:r>
        <w:rPr>
          <w:rFonts w:cs="Aptos"/>
          <w:color w:val="000000"/>
          <w:szCs w:val="24"/>
        </w:rPr>
        <w:t>﻿</w:t>
      </w: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Aptos" w:hAnsi="Aptos"/>
          <w:b/>
          <w:sz w:val="24"/>
        </w:rPr>
      </w:pPr>
      <w:r>
        <w:rPr>
          <w:rFonts w:ascii="Aptos" w:hAnsi="Aptos"/>
          <w:b/>
          <w:sz w:val="24"/>
        </w:rPr>
        <w:t xml:space="preserve">Forward-Looking Statements </w:t>
      </w:r>
    </w:p>
    <w:p>
      <w:pPr>
        <w:pStyle w:val="TextBody"/>
        <w:bidi w:val="0"/>
        <w:spacing w:lineRule="auto" w:line="240" w:before="0" w:after="0"/>
        <w:ind w:left="720" w:right="720" w:hanging="0"/>
        <w:jc w:val="left"/>
        <w:rPr>
          <w:rFonts w:cs="Aptos"/>
          <w:szCs w:val="24"/>
        </w:rPr>
      </w:pPr>
      <w:r>
        <w:rPr>
          <w:rFonts w:cs="Aptos"/>
          <w:szCs w:val="24"/>
        </w:rPr>
        <w:t xml:space="preserve">﻿ </w:t>
      </w:r>
    </w:p>
    <w:p>
      <w:pPr>
        <w:pStyle w:val="TextBody"/>
        <w:bidi w:val="0"/>
        <w:spacing w:lineRule="auto" w:line="240" w:before="0" w:after="0"/>
        <w:ind w:left="720" w:right="720" w:hanging="0"/>
        <w:jc w:val="left"/>
        <w:rPr>
          <w:rFonts w:ascii="Aptos" w:hAnsi="Aptos"/>
          <w:sz w:val="24"/>
        </w:rPr>
      </w:pPr>
      <w:r>
        <w:rPr>
          <w:rFonts w:ascii="Aptos" w:hAnsi="Aptos"/>
          <w:sz w:val="24"/>
        </w:rPr>
        <w:t>In addition to historical information, this earnings release may contain forward-looking statements within the meaning of the Private Securities Litigation Reform Act of 1995, which describes the future plans, strategies and expectations of the Company. Forward-looking statements can be identified by the use of words such as “estimate,” “project,” “believe,” “intend,” “anticipate,” “assume,” “plan,” “seek,” “expect,” “will,” “may,” “should,” “indicate,” “would,” “contemplate,” “continue,” “target” and words of similar meaning. Forward-looking statements are based on our current beliefs and expectations and are inherently subject to significant business, economic and competitive uncertainties and contingencies, many of which are beyond our control. In addition, these forward-looking statements are subject to assumptions with respect to future business strategies and decisions that are subject to change. Accordingly, you should not place undue reliance on such statements. We are under no duty to and do not take any obligation to update any forward-looking statements after the date of this report</w:t>
      </w:r>
      <w:r>
        <w:rPr>
          <w:rFonts w:ascii="Aptos" w:hAnsi="Aptos"/>
          <w:sz w:val="20"/>
        </w:rPr>
        <w:t>.  </w:t>
      </w:r>
      <w:r>
        <w:rPr>
          <w:rFonts w:ascii="Aptos" w:hAnsi="Aptos"/>
          <w:sz w:val="24"/>
        </w:rPr>
        <w:t xml:space="preserve">Those risks and uncertainties include, among other things, changes in federal and state laws, changes in interest rates, our ability to maintain strong credit quality metrics, our ability to have future performance, our ability to control core operating expenses and costs, demand for real estate, government fiscal and trade policies, cybersecurity and general economic conditions. The Company undertakes no obligation to publicly release the results of any revisions to those forward-looking statements which may be made to reflect events or circumstances after the date hereof or to reflect the occurrence of unanticipated events. </w:t>
      </w:r>
    </w:p>
    <w:p>
      <w:pPr>
        <w:pStyle w:val="TextBody"/>
        <w:bidi w:val="0"/>
        <w:spacing w:lineRule="auto" w:line="240" w:before="0" w:after="0"/>
        <w:ind w:left="720" w:right="720" w:hanging="0"/>
        <w:jc w:val="left"/>
        <w:rPr>
          <w:rFonts w:cs="Aptos"/>
          <w:szCs w:val="24"/>
        </w:rPr>
      </w:pPr>
      <w:r>
        <w:rPr>
          <w:rFonts w:cs="Aptos"/>
          <w:szCs w:val="24"/>
        </w:rPr>
        <w:t xml:space="preserve">﻿ </w:t>
      </w:r>
    </w:p>
    <w:p>
      <w:pPr>
        <w:pStyle w:val="TextBody"/>
        <w:bidi w:val="0"/>
        <w:spacing w:lineRule="auto" w:line="276" w:before="0" w:after="160"/>
        <w:ind w:left="720" w:right="720" w:hanging="0"/>
        <w:jc w:val="both"/>
        <w:rPr>
          <w:rFonts w:ascii="Aptos" w:hAnsi="Aptos"/>
          <w:sz w:val="24"/>
        </w:rPr>
      </w:pPr>
      <w:r>
        <w:rPr>
          <w:rFonts w:ascii="Aptos" w:hAnsi="Aptos"/>
          <w:b/>
          <w:sz w:val="24"/>
          <w:u w:val="single"/>
        </w:rPr>
        <w:t>Non-GAAP Measures</w:t>
      </w:r>
      <w:r>
        <w:rPr>
          <w:rFonts w:ascii="Aptos" w:hAnsi="Aptos"/>
          <w:sz w:val="24"/>
        </w:rPr>
        <w:t xml:space="preserve"> </w:t>
      </w:r>
    </w:p>
    <w:p>
      <w:pPr>
        <w:pStyle w:val="TextBody"/>
        <w:bidi w:val="0"/>
        <w:spacing w:lineRule="auto" w:line="276" w:before="0" w:after="160"/>
        <w:ind w:left="720" w:right="720" w:hanging="0"/>
        <w:jc w:val="both"/>
        <w:rPr>
          <w:rFonts w:ascii="Aptos" w:hAnsi="Aptos"/>
          <w:sz w:val="24"/>
        </w:rPr>
      </w:pPr>
      <w:r>
        <w:rPr>
          <w:rFonts w:ascii="Aptos" w:hAnsi="Aptos"/>
          <w:sz w:val="24"/>
        </w:rPr>
        <w:t xml:space="preserve">In addition to presenting information in conformity with accounting principles generally accepted in the United States of America (GAAP), this news release contains financial information determined by methods other than GAAP (non-GAAP). The following measures used in this release, which are commonly utilized by financial institutions, have not been specifically exempted by the Securities and Exchange Commission ("SEC") and may constitute "non-GAAP financial measures" within the meaning of the SEC's rules. </w:t>
      </w:r>
    </w:p>
    <w:p>
      <w:pPr>
        <w:pStyle w:val="TextBody"/>
        <w:bidi w:val="0"/>
        <w:spacing w:lineRule="auto" w:line="276" w:before="0" w:after="160"/>
        <w:ind w:left="720" w:right="720" w:hanging="0"/>
        <w:jc w:val="both"/>
        <w:rPr>
          <w:rFonts w:ascii="Aptos" w:hAnsi="Aptos"/>
          <w:sz w:val="24"/>
        </w:rPr>
      </w:pPr>
      <w:r>
        <w:rPr>
          <w:rFonts w:ascii="Aptos" w:hAnsi="Aptos"/>
          <w:sz w:val="24"/>
        </w:rPr>
        <w:t xml:space="preserve">The Company has provided in this news release supplemental disclosures for the calculation of Return on Average Assets, Return on Average Tangible Shareholders’ Equity, Basic Earnings per Share, Diluted Earnings per Share, Tangible Book Value and Pre Provision Net Revenue. Management believes that the non-GAAP financial measures disclosed by the Company from time to time are useful in evaluating the Company’s performance and that such information should be considered as supplemental in nature and not as a substitute for or superior to the related financial information prepared in accordance with GAAP. Our non-GAAP financial measures may differ from similar measures presented by other companies.   </w:t>
      </w:r>
    </w:p>
    <w:p>
      <w:pPr>
        <w:pStyle w:val="TextBody"/>
        <w:bidi w:val="0"/>
        <w:spacing w:lineRule="auto" w:line="276" w:before="0" w:after="160"/>
        <w:ind w:left="720" w:right="720" w:hanging="0"/>
        <w:jc w:val="both"/>
        <w:rPr>
          <w:rFonts w:cs="Aptos"/>
          <w:szCs w:val="24"/>
        </w:rPr>
      </w:pPr>
      <w:r>
        <w:rPr>
          <w:rFonts w:cs="Aptos"/>
          <w:szCs w:val="24"/>
        </w:rPr>
        <w:t xml:space="preserve">﻿ </w:t>
      </w:r>
    </w:p>
    <w:p>
      <w:pPr>
        <w:pStyle w:val="TextBody"/>
        <w:bidi w:val="0"/>
        <w:spacing w:lineRule="auto" w:line="240" w:before="0" w:after="0"/>
        <w:ind w:left="720" w:right="720" w:hanging="0"/>
        <w:jc w:val="left"/>
        <w:rPr>
          <w:rFonts w:ascii="Aptos" w:hAnsi="Aptos"/>
          <w:sz w:val="24"/>
        </w:rPr>
      </w:pPr>
      <w:r>
        <w:rPr>
          <w:rFonts w:ascii="Aptos" w:hAnsi="Aptos"/>
          <w:sz w:val="24"/>
        </w:rPr>
        <w:t xml:space="preserve">Contact: John M. McCaffery </w:t>
      </w:r>
    </w:p>
    <w:p>
      <w:pPr>
        <w:pStyle w:val="TextBody"/>
        <w:bidi w:val="0"/>
        <w:spacing w:lineRule="auto" w:line="240" w:before="0" w:after="0"/>
        <w:ind w:left="720" w:right="720" w:firstLine="720"/>
        <w:jc w:val="left"/>
        <w:rPr/>
      </w:pPr>
      <w:r>
        <w:rPr/>
        <w:t>    </w:t>
      </w:r>
      <w:r>
        <w:rPr>
          <w:rFonts w:ascii="Aptos" w:hAnsi="Aptos"/>
          <w:sz w:val="24"/>
        </w:rPr>
        <w:t xml:space="preserve">Executive Vice President &amp;  </w:t>
      </w:r>
    </w:p>
    <w:p>
      <w:pPr>
        <w:pStyle w:val="TextBody"/>
        <w:bidi w:val="0"/>
        <w:spacing w:lineRule="auto" w:line="240" w:before="0" w:after="0"/>
        <w:ind w:left="720" w:right="720" w:firstLine="720"/>
        <w:jc w:val="left"/>
        <w:rPr/>
      </w:pPr>
      <w:r>
        <w:rPr/>
        <w:t>    </w:t>
      </w:r>
      <w:r>
        <w:rPr>
          <w:rFonts w:ascii="Aptos" w:hAnsi="Aptos"/>
          <w:sz w:val="24"/>
        </w:rPr>
        <w:t xml:space="preserve">Chief Financial Officer </w:t>
      </w:r>
    </w:p>
    <w:p>
      <w:pPr>
        <w:pStyle w:val="TextBody"/>
        <w:bidi w:val="0"/>
        <w:spacing w:lineRule="auto" w:line="240" w:before="0" w:after="0"/>
        <w:ind w:left="720" w:right="720" w:firstLine="720"/>
        <w:jc w:val="left"/>
        <w:rPr/>
      </w:pPr>
      <w:r>
        <w:rPr/>
        <w:t>    </w:t>
      </w:r>
      <w:r>
        <w:rPr>
          <w:rFonts w:ascii="Aptos" w:hAnsi="Aptos"/>
          <w:sz w:val="24"/>
        </w:rPr>
        <w:t xml:space="preserve">NORWOOD FINANCIAL CORP </w:t>
      </w:r>
    </w:p>
    <w:p>
      <w:pPr>
        <w:pStyle w:val="TextBody"/>
        <w:bidi w:val="0"/>
        <w:spacing w:lineRule="auto" w:line="240" w:before="0" w:after="0"/>
        <w:ind w:left="720" w:right="720" w:firstLine="720"/>
        <w:jc w:val="left"/>
        <w:rPr/>
      </w:pPr>
      <w:r>
        <w:rPr/>
        <w:t>    </w:t>
      </w:r>
      <w:r>
        <w:rPr>
          <w:rFonts w:ascii="Aptos" w:hAnsi="Aptos"/>
          <w:sz w:val="24"/>
        </w:rPr>
        <w:t xml:space="preserve">272-304-3003 </w:t>
      </w:r>
    </w:p>
    <w:p>
      <w:pPr>
        <w:pStyle w:val="TextBody"/>
        <w:bidi w:val="0"/>
        <w:spacing w:lineRule="auto" w:line="240" w:before="0" w:after="0"/>
        <w:ind w:left="720" w:right="720" w:firstLine="720"/>
        <w:jc w:val="left"/>
        <w:rPr/>
      </w:pPr>
      <w:r>
        <w:rPr/>
        <w:t xml:space="preserve">    </w:t>
      </w:r>
      <w:r>
        <w:rPr>
          <w:rFonts w:ascii="Aptos" w:hAnsi="Aptos"/>
          <w:color w:val="467886"/>
          <w:sz w:val="24"/>
        </w:rPr>
        <w:t>www.waynebank.com</w:t>
      </w:r>
      <w:r>
        <w:rPr>
          <w:rFonts w:ascii="Aptos" w:hAnsi="Aptos"/>
          <w:sz w:val="24"/>
        </w:rPr>
        <w:t xml:space="preserve"> </w:t>
      </w:r>
    </w:p>
    <w:p>
      <w:pPr>
        <w:pStyle w:val="TextBody"/>
        <w:bidi w:val="0"/>
        <w:spacing w:lineRule="auto" w:line="240" w:before="0" w:after="0"/>
        <w:ind w:left="720" w:right="720" w:firstLine="720"/>
        <w:jc w:val="left"/>
        <w:rPr>
          <w:rFonts w:cs="Aptos"/>
          <w:szCs w:val="24"/>
        </w:rPr>
      </w:pP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6244"/>
        <w:gridCol w:w="140"/>
        <w:gridCol w:w="1112"/>
        <w:gridCol w:w="140"/>
        <w:gridCol w:w="1129"/>
      </w:tblGrid>
      <w:tr>
        <w:trPr/>
        <w:tc>
          <w:tcPr>
            <w:tcW w:w="6244" w:type="dxa"/>
            <w:tcBorders/>
            <w:vAlign w:val="bottom"/>
          </w:tcPr>
          <w:p>
            <w:pPr>
              <w:pStyle w:val="TableContents"/>
              <w:bidi w:val="0"/>
              <w:spacing w:lineRule="auto" w:line="240" w:before="0" w:after="0"/>
              <w:ind w:left="0" w:right="0" w:hanging="0"/>
              <w:jc w:val="left"/>
              <w:rPr>
                <w:rFonts w:cs="Arial"/>
                <w:szCs w:val="2"/>
              </w:rPr>
            </w:pPr>
            <w:r>
              <w:rPr>
                <w:rFonts w:cs="Arial"/>
                <w:szCs w:val="2"/>
              </w:rPr>
              <w:t>﻿</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NORWOOD FINANCIAL CORP</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 xml:space="preserve">Consolidated Balance Sheets </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(dollars in thousands, except share and per share data)</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(unaudited)</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cs="Arial"/>
                <w:szCs w:val="22"/>
              </w:rPr>
            </w:pPr>
            <w:r>
              <w:rPr>
                <w:rFonts w:cs="Arial"/>
                <w:szCs w:val="22"/>
              </w:rPr>
              <w:t>﻿</w:t>
            </w:r>
          </w:p>
        </w:tc>
        <w:tc>
          <w:tcPr>
            <w:tcW w:w="140" w:type="dxa"/>
            <w:tcBorders/>
            <w:vAlign w:val="bottom"/>
          </w:tcPr>
          <w:p>
            <w:pPr>
              <w:pStyle w:val="TableContents"/>
              <w:bidi w:val="0"/>
              <w:spacing w:lineRule="auto" w:line="240" w:before="0" w:after="0"/>
              <w:ind w:left="0" w:right="0" w:hanging="0"/>
              <w:jc w:val="left"/>
              <w:rPr/>
            </w:pPr>
            <w:r>
              <w:rPr/>
              <w:t> </w:t>
            </w:r>
          </w:p>
        </w:tc>
        <w:tc>
          <w:tcPr>
            <w:tcW w:w="2381" w:type="dxa"/>
            <w:gridSpan w:val="3"/>
            <w:tcBorders/>
            <w:vAlign w:val="bottom"/>
          </w:tcPr>
          <w:p>
            <w:pPr>
              <w:pStyle w:val="TableContents"/>
              <w:bidi w:val="0"/>
              <w:spacing w:lineRule="auto" w:line="240" w:before="0" w:after="0"/>
              <w:ind w:left="0" w:right="0" w:hanging="0"/>
              <w:jc w:val="center"/>
              <w:rPr>
                <w:rFonts w:ascii="Arial" w:hAnsi="Arial"/>
                <w:b/>
                <w:sz w:val="22"/>
              </w:rPr>
            </w:pPr>
            <w:r>
              <w:rPr>
                <w:rFonts w:ascii="Arial" w:hAnsi="Arial"/>
                <w:b/>
                <w:sz w:val="22"/>
              </w:rPr>
              <w:t>June 30</w:t>
            </w:r>
          </w:p>
        </w:tc>
      </w:tr>
      <w:tr>
        <w:trPr/>
        <w:tc>
          <w:tcPr>
            <w:tcW w:w="6244" w:type="dxa"/>
            <w:tcBorders/>
            <w:vAlign w:val="bottom"/>
          </w:tcPr>
          <w:p>
            <w:pPr>
              <w:pStyle w:val="TableContents"/>
              <w:bidi w:val="0"/>
              <w:spacing w:lineRule="auto" w:line="240" w:before="0" w:after="0"/>
              <w:ind w:left="0" w:right="0" w:hanging="0"/>
              <w:jc w:val="left"/>
              <w:rPr>
                <w:rFonts w:cs="Arial"/>
                <w:bCs/>
                <w:szCs w:val="22"/>
              </w:rPr>
            </w:pPr>
            <w:r>
              <w:rPr>
                <w:rFonts w:cs="Arial"/>
                <w:bCs/>
                <w:szCs w:val="22"/>
              </w:rPr>
              <w:t>﻿</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22"/>
              </w:rPr>
            </w:pPr>
            <w:r>
              <w:rPr>
                <w:rFonts w:ascii="Arial" w:hAnsi="Arial"/>
                <w:b/>
                <w:sz w:val="22"/>
              </w:rPr>
              <w:t>2026</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22"/>
              </w:rPr>
            </w:pPr>
            <w:r>
              <w:rPr>
                <w:rFonts w:ascii="Arial" w:hAnsi="Arial"/>
                <w:sz w:val="22"/>
              </w:rPr>
              <w:t>2025</w:t>
            </w:r>
          </w:p>
        </w:tc>
      </w:tr>
      <w:tr>
        <w:trPr/>
        <w:tc>
          <w:tcPr>
            <w:tcW w:w="6244" w:type="dxa"/>
            <w:tcBorders/>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ASSETS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Cash and due from banks</w:t>
            </w:r>
          </w:p>
        </w:tc>
        <w:tc>
          <w:tcPr>
            <w:tcW w:w="140" w:type="dxa"/>
            <w:tcBorders/>
            <w:shd w:fill="CCEEFF" w:val="clear"/>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30,902  </w:t>
            </w:r>
          </w:p>
        </w:tc>
        <w:tc>
          <w:tcPr>
            <w:tcW w:w="140" w:type="dxa"/>
            <w:tcBorders/>
            <w:shd w:fill="CCEEFF" w:val="clear"/>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32,052 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Interest-bearing deposits with banks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29,387 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20,993  </w:t>
            </w:r>
          </w:p>
        </w:tc>
      </w:tr>
      <w:tr>
        <w:trPr/>
        <w:tc>
          <w:tcPr>
            <w:tcW w:w="6244"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22"/>
              </w:rPr>
              <w:t>Fed funds sold</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0 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0 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Cash and cash equivalents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60,289 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53,045  </w:t>
            </w:r>
          </w:p>
        </w:tc>
      </w:tr>
      <w:tr>
        <w:trPr/>
        <w:tc>
          <w:tcPr>
            <w:tcW w:w="6244" w:type="dxa"/>
            <w:tcBorders/>
            <w:shd w:fill="CCEEFF" w:val="clear"/>
            <w:vAlign w:val="bottom"/>
          </w:tcPr>
          <w:p>
            <w:pPr>
              <w:pStyle w:val="TableContents"/>
              <w:bidi w:val="0"/>
              <w:spacing w:lineRule="auto" w:line="240" w:before="0" w:after="0"/>
              <w:ind w:left="0" w:right="0" w:hanging="0"/>
              <w:jc w:val="left"/>
              <w:rPr>
                <w:rFonts w:cs="Arial"/>
                <w:szCs w:val="22"/>
              </w:rPr>
            </w:pPr>
            <w:r>
              <w:rPr>
                <w:rFonts w:cs="Arial"/>
                <w:szCs w:val="22"/>
              </w:rPr>
              <w: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Securities available for sale</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438,967 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402,460 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 xml:space="preserve">Loans receivable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2,262,813 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1,790,574 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Less: Allowance for credit losses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25,632 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20,908 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Net loans receivable</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2,237,181 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1,769,666 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Regulatory stock, at cost</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6,399 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7,538 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Bank premises and equipment, net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25,262 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21,608 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Bank owned life insurance</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55,404 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46,099 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Foreclosed real estate owned</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771  </w:t>
            </w:r>
          </w:p>
        </w:tc>
        <w:tc>
          <w:tcPr>
            <w:tcW w:w="140" w:type="dxa"/>
            <w:tcBorders/>
            <w:shd w:fill="CCEEFF" w:val="clear"/>
            <w:vAlign w:val="bottom"/>
          </w:tcPr>
          <w:p>
            <w:pPr>
              <w:pStyle w:val="TableContents"/>
              <w:bidi w:val="0"/>
              <w:spacing w:lineRule="auto" w:line="240" w:before="0" w:after="0"/>
              <w:ind w:left="0" w:right="0" w:hanging="0"/>
              <w:jc w:val="right"/>
              <w:rPr/>
            </w:pPr>
            <w:r>
              <w:rPr/>
              <w:t> </w:t>
            </w:r>
          </w:p>
        </w:tc>
        <w:tc>
          <w:tcPr>
            <w:tcW w:w="1129" w:type="dxa"/>
            <w:tcBorders/>
            <w:shd w:fill="CCEEFF" w:val="clear"/>
            <w:vAlign w:val="bottom"/>
          </w:tcPr>
          <w:p>
            <w:pPr>
              <w:pStyle w:val="TableContents"/>
              <w:bidi w:val="0"/>
              <w:spacing w:lineRule="auto" w:line="240" w:before="0" w:after="0"/>
              <w:ind w:left="0" w:right="0" w:hanging="0"/>
              <w:jc w:val="right"/>
              <w:rPr/>
            </w:pPr>
            <w:r>
              <w:rPr/>
              <w:t>                </w:t>
            </w:r>
            <w:r>
              <w:rPr>
                <w:rFonts w:ascii="Arial" w:hAnsi="Arial"/>
                <w:sz w:val="22"/>
              </w:rPr>
              <w:t xml:space="preserve">-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Accrued interest receivable</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10,568 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8,642 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Deferred tax assets, net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19,979 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17,693 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Goodwill</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36,375 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29,266 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Other intangible assets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3,153 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121 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Other assets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13,566 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9,212 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TOTAL ASSETS</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w:t>
            </w:r>
          </w:p>
        </w:tc>
        <w:tc>
          <w:tcPr>
            <w:tcW w:w="1112"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2,907,914 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w:t>
            </w:r>
          </w:p>
        </w:tc>
        <w:tc>
          <w:tcPr>
            <w:tcW w:w="1129"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2,365,350  </w:t>
            </w:r>
          </w:p>
        </w:tc>
      </w:tr>
      <w:tr>
        <w:trPr/>
        <w:tc>
          <w:tcPr>
            <w:tcW w:w="6244" w:type="dxa"/>
            <w:tcBorders/>
            <w:vAlign w:val="bottom"/>
          </w:tcPr>
          <w:p>
            <w:pPr>
              <w:pStyle w:val="TableContents"/>
              <w:bidi w:val="0"/>
              <w:spacing w:lineRule="auto" w:line="240" w:before="0" w:after="0"/>
              <w:ind w:left="0" w:right="0" w:hanging="0"/>
              <w:jc w:val="left"/>
              <w:rPr>
                <w:rFonts w:cs="Arial"/>
                <w:szCs w:val="22"/>
              </w:rPr>
            </w:pPr>
            <w:r>
              <w:rPr>
                <w:rFonts w:cs="Arial"/>
                <w:szCs w:val="22"/>
              </w:rPr>
              <w:t>﻿</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LIABILITIES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Deposits: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 xml:space="preserve">Non-interest bearing demand </w:t>
            </w:r>
          </w:p>
        </w:tc>
        <w:tc>
          <w:tcPr>
            <w:tcW w:w="140" w:type="dxa"/>
            <w:tcBorders/>
            <w:shd w:fill="CCEEFF" w:val="clear"/>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500,383  </w:t>
            </w:r>
          </w:p>
        </w:tc>
        <w:tc>
          <w:tcPr>
            <w:tcW w:w="140" w:type="dxa"/>
            <w:tcBorders/>
            <w:shd w:fill="CCEEFF" w:val="clear"/>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406,358 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 xml:space="preserve">Interest-bearing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2,013,914 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1,591,476 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Total deposits</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2,514,297 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1,997,834 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Short-term borrowings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right"/>
              <w:rPr/>
            </w:pPr>
            <w:r>
              <w:rPr/>
              <w:t>                </w:t>
            </w:r>
            <w:r>
              <w:rPr>
                <w:rFonts w:ascii="Arial" w:hAnsi="Arial"/>
                <w:b/>
                <w:sz w:val="22"/>
              </w:rPr>
              <w:t xml:space="preserve">- </w:t>
            </w:r>
          </w:p>
        </w:tc>
        <w:tc>
          <w:tcPr>
            <w:tcW w:w="140" w:type="dxa"/>
            <w:tcBorders/>
            <w:vAlign w:val="bottom"/>
          </w:tcPr>
          <w:p>
            <w:pPr>
              <w:pStyle w:val="TableContents"/>
              <w:bidi w:val="0"/>
              <w:spacing w:lineRule="auto" w:line="240" w:before="0" w:after="0"/>
              <w:ind w:left="0" w:right="0" w:hanging="0"/>
              <w:jc w:val="righ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26,500 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Other borrowings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65,513  </w:t>
            </w:r>
          </w:p>
        </w:tc>
        <w:tc>
          <w:tcPr>
            <w:tcW w:w="140" w:type="dxa"/>
            <w:tcBorders/>
            <w:shd w:fill="CCEEFF" w:val="clear"/>
            <w:vAlign w:val="bottom"/>
          </w:tcPr>
          <w:p>
            <w:pPr>
              <w:pStyle w:val="TableContents"/>
              <w:bidi w:val="0"/>
              <w:spacing w:lineRule="auto" w:line="240" w:before="0" w:after="0"/>
              <w:ind w:left="0" w:right="0" w:hanging="0"/>
              <w:jc w:val="righ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85,350 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Accrued interest payable</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8,668 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10,975 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Other liabilities</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29,796 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19,266 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TOTAL LIABILITIES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2,618,274 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2,139,925  </w:t>
            </w:r>
          </w:p>
        </w:tc>
      </w:tr>
      <w:tr>
        <w:trPr/>
        <w:tc>
          <w:tcPr>
            <w:tcW w:w="6244" w:type="dxa"/>
            <w:tcBorders/>
            <w:shd w:fill="CCEEFF" w:val="clear"/>
            <w:vAlign w:val="bottom"/>
          </w:tcPr>
          <w:p>
            <w:pPr>
              <w:pStyle w:val="TableContents"/>
              <w:bidi w:val="0"/>
              <w:spacing w:lineRule="auto" w:line="240" w:before="0" w:after="0"/>
              <w:ind w:left="0" w:right="0" w:hanging="0"/>
              <w:jc w:val="left"/>
              <w:rPr>
                <w:rFonts w:cs="Arial"/>
                <w:szCs w:val="22"/>
              </w:rPr>
            </w:pPr>
            <w:r>
              <w:rPr>
                <w:rFonts w:cs="Arial"/>
                <w:szCs w:val="22"/>
              </w:rPr>
              <w: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STOCKHOLDERS' EQUITY</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22"/>
              </w:rPr>
              <w:t>Preferred Stock, no par value per share, authorized 5,000,000 shares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lineRule="auto" w:line="240" w:before="0" w:after="0"/>
              <w:ind w:left="0" w:right="0" w:hanging="0"/>
              <w:jc w:val="right"/>
              <w:rPr/>
            </w:pPr>
            <w:r>
              <w:rPr/>
              <w:t>                </w:t>
            </w:r>
            <w:r>
              <w:rPr>
                <w:rFonts w:ascii="Arial" w:hAnsi="Arial"/>
                <w:b/>
                <w:sz w:val="22"/>
              </w:rPr>
              <w:t xml:space="preserve">- </w:t>
            </w:r>
          </w:p>
        </w:tc>
        <w:tc>
          <w:tcPr>
            <w:tcW w:w="140" w:type="dxa"/>
            <w:tcBorders/>
            <w:shd w:fill="CCEEFF" w:val="clear"/>
            <w:vAlign w:val="bottom"/>
          </w:tcPr>
          <w:p>
            <w:pPr>
              <w:pStyle w:val="TableContents"/>
              <w:bidi w:val="0"/>
              <w:spacing w:lineRule="auto" w:line="240" w:before="0" w:after="0"/>
              <w:ind w:left="0" w:right="0" w:hanging="0"/>
              <w:jc w:val="right"/>
              <w:rPr/>
            </w:pPr>
            <w:r>
              <w:rPr/>
              <w:t> </w:t>
            </w:r>
          </w:p>
        </w:tc>
        <w:tc>
          <w:tcPr>
            <w:tcW w:w="1129" w:type="dxa"/>
            <w:tcBorders/>
            <w:shd w:fill="CCEEFF" w:val="clear"/>
            <w:vAlign w:val="bottom"/>
          </w:tcPr>
          <w:p>
            <w:pPr>
              <w:pStyle w:val="TableContents"/>
              <w:bidi w:val="0"/>
              <w:spacing w:lineRule="auto" w:line="240" w:before="0" w:after="0"/>
              <w:ind w:left="0" w:right="0" w:hanging="0"/>
              <w:jc w:val="right"/>
              <w:rPr/>
            </w:pPr>
            <w:r>
              <w:rPr/>
              <w:t>                </w:t>
            </w:r>
            <w:r>
              <w:rPr>
                <w:rFonts w:ascii="Arial" w:hAnsi="Arial"/>
                <w:sz w:val="22"/>
              </w:rPr>
              <w:t xml:space="preserve">- </w:t>
            </w:r>
          </w:p>
        </w:tc>
      </w:tr>
      <w:tr>
        <w:trPr/>
        <w:tc>
          <w:tcPr>
            <w:tcW w:w="6244" w:type="dxa"/>
            <w:tcBorders/>
            <w:vAlign w:val="bottom"/>
          </w:tcPr>
          <w:p>
            <w:pPr>
              <w:pStyle w:val="TableContents"/>
              <w:bidi w:val="0"/>
              <w:spacing w:lineRule="auto" w:line="240" w:before="0" w:after="0"/>
              <w:ind w:left="0" w:right="0" w:hanging="0"/>
              <w:jc w:val="left"/>
              <w:rPr/>
            </w:pPr>
            <w:r>
              <w:rPr/>
              <w:t> </w:t>
            </w:r>
            <w:r>
              <w:rPr>
                <w:rFonts w:ascii="Arial" w:hAnsi="Arial"/>
                <w:sz w:val="22"/>
              </w:rPr>
              <w:t>Common Stock, $.10 par value per share,</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pPr>
            <w:r>
              <w:rPr/>
              <w:t>        </w:t>
            </w:r>
            <w:r>
              <w:rPr>
                <w:rFonts w:ascii="Arial" w:hAnsi="Arial"/>
                <w:sz w:val="22"/>
              </w:rPr>
              <w:t xml:space="preserve">authorized: 20,000,000 shares, </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pPr>
            <w:r>
              <w:rPr/>
              <w:t>        </w:t>
            </w:r>
            <w:r>
              <w:rPr>
                <w:rFonts w:ascii="Arial" w:hAnsi="Arial"/>
                <w:sz w:val="22"/>
              </w:rPr>
              <w:t>issued: 2026: 11,182,591 shares, 2025: 9,490,505 shares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1,118 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949 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Surplus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174,337 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126,990 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Retained earnings</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before="0" w:after="283"/>
              <w:jc w:val="right"/>
              <w:rPr>
                <w:rFonts w:ascii="Arial" w:hAnsi="Arial"/>
                <w:b/>
                <w:sz w:val="22"/>
              </w:rPr>
            </w:pPr>
            <w:r>
              <w:rPr>
                <w:rFonts w:ascii="Arial" w:hAnsi="Arial"/>
                <w:b/>
                <w:sz w:val="22"/>
              </w:rPr>
              <w:t xml:space="preserve">146,685 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before="0" w:after="283"/>
              <w:jc w:val="right"/>
              <w:rPr>
                <w:rFonts w:ascii="Arial" w:hAnsi="Arial"/>
                <w:sz w:val="22"/>
              </w:rPr>
            </w:pPr>
            <w:r>
              <w:rPr>
                <w:rFonts w:ascii="Arial" w:hAnsi="Arial"/>
                <w:sz w:val="22"/>
              </w:rPr>
              <w:t xml:space="preserve">131,199  </w:t>
            </w:r>
          </w:p>
        </w:tc>
      </w:tr>
      <w:tr>
        <w:trPr/>
        <w:tc>
          <w:tcPr>
            <w:tcW w:w="6244"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22"/>
              </w:rPr>
              <w:t>Treasury stock, at cost: 2026: 290,841 shares, 2025: 229,983 shares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12" w:type="dxa"/>
            <w:tcBorders/>
            <w:shd w:fill="CCEEFF" w:val="clear"/>
            <w:vAlign w:val="bottom"/>
          </w:tcPr>
          <w:p>
            <w:pPr>
              <w:pStyle w:val="TableContents"/>
              <w:bidi w:val="0"/>
              <w:spacing w:before="0" w:after="283"/>
              <w:jc w:val="right"/>
              <w:rPr>
                <w:rFonts w:ascii="Arial" w:hAnsi="Arial"/>
                <w:b/>
                <w:sz w:val="22"/>
              </w:rPr>
            </w:pPr>
            <w:r>
              <w:rPr>
                <w:rFonts w:ascii="Arial" w:hAnsi="Arial"/>
                <w:b/>
                <w:sz w:val="22"/>
              </w:rPr>
              <w:t xml:space="preserve">(7,957)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129" w:type="dxa"/>
            <w:tcBorders/>
            <w:shd w:fill="CCEEFF" w:val="clear"/>
            <w:vAlign w:val="bottom"/>
          </w:tcPr>
          <w:p>
            <w:pPr>
              <w:pStyle w:val="TableContents"/>
              <w:bidi w:val="0"/>
              <w:spacing w:before="0" w:after="283"/>
              <w:jc w:val="right"/>
              <w:rPr>
                <w:rFonts w:ascii="Arial" w:hAnsi="Arial"/>
                <w:sz w:val="22"/>
              </w:rPr>
            </w:pPr>
            <w:r>
              <w:rPr>
                <w:rFonts w:ascii="Arial" w:hAnsi="Arial"/>
                <w:sz w:val="22"/>
              </w:rPr>
              <w:t xml:space="preserve">(6,208) </w:t>
            </w:r>
          </w:p>
        </w:tc>
      </w:tr>
      <w:tr>
        <w:trPr/>
        <w:tc>
          <w:tcPr>
            <w:tcW w:w="6244" w:type="dxa"/>
            <w:tcBorders/>
            <w:vAlign w:val="bottom"/>
          </w:tcPr>
          <w:p>
            <w:pPr>
              <w:pStyle w:val="TableContents"/>
              <w:bidi w:val="0"/>
              <w:spacing w:lineRule="auto" w:line="240" w:before="0" w:after="0"/>
              <w:ind w:left="0" w:right="0" w:hanging="0"/>
              <w:jc w:val="left"/>
              <w:rPr/>
            </w:pPr>
            <w:r>
              <w:rPr/>
              <w:t> </w:t>
            </w:r>
            <w:r>
              <w:rPr>
                <w:rFonts w:ascii="Arial" w:hAnsi="Arial"/>
                <w:sz w:val="22"/>
              </w:rPr>
              <w:t>Accumulated other comprehensive loss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(24,543)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(27,505) </w:t>
            </w:r>
          </w:p>
        </w:tc>
      </w:tr>
      <w:tr>
        <w:trPr/>
        <w:tc>
          <w:tcPr>
            <w:tcW w:w="6244"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TOTAL STOCKHOLDERS' EQUITY</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1112"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289,640  </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112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225,425  </w:t>
            </w:r>
          </w:p>
        </w:tc>
      </w:tr>
      <w:tr>
        <w:trPr/>
        <w:tc>
          <w:tcPr>
            <w:tcW w:w="6244" w:type="dxa"/>
            <w:tcBorders/>
            <w:vAlign w:val="bottom"/>
          </w:tcPr>
          <w:p>
            <w:pPr>
              <w:pStyle w:val="TableContents"/>
              <w:bidi w:val="0"/>
              <w:spacing w:lineRule="auto" w:line="240" w:before="0" w:after="0"/>
              <w:ind w:left="0" w:right="0" w:hanging="0"/>
              <w:jc w:val="left"/>
              <w:rPr>
                <w:rFonts w:cs="Arial"/>
                <w:szCs w:val="22"/>
              </w:rPr>
            </w:pPr>
            <w:r>
              <w:rPr>
                <w:rFonts w:cs="Arial"/>
                <w:szCs w:val="22"/>
              </w:rPr>
              <w:t>﻿</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TOTAL LIABILITIES AND</w:t>
            </w:r>
          </w:p>
        </w:tc>
        <w:tc>
          <w:tcPr>
            <w:tcW w:w="140" w:type="dxa"/>
            <w:tcBorders/>
            <w:vAlign w:val="bottom"/>
          </w:tcPr>
          <w:p>
            <w:pPr>
              <w:pStyle w:val="TableContents"/>
              <w:bidi w:val="0"/>
              <w:spacing w:lineRule="auto" w:line="240" w:before="0" w:after="0"/>
              <w:ind w:left="0" w:right="0" w:hanging="0"/>
              <w:jc w:val="left"/>
              <w:rPr/>
            </w:pPr>
            <w:r>
              <w:rPr/>
              <w:t> </w:t>
            </w:r>
          </w:p>
        </w:tc>
        <w:tc>
          <w:tcPr>
            <w:tcW w:w="1112"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129" w:type="dxa"/>
            <w:tcBorders/>
            <w:vAlign w:val="bottom"/>
          </w:tcPr>
          <w:p>
            <w:pPr>
              <w:pStyle w:val="TableContents"/>
              <w:bidi w:val="0"/>
              <w:spacing w:lineRule="auto" w:line="240" w:before="0" w:after="0"/>
              <w:ind w:left="0" w:right="0" w:hanging="0"/>
              <w:jc w:val="left"/>
              <w:rPr/>
            </w:pPr>
            <w:r>
              <w:rPr/>
              <w:t> </w:t>
            </w:r>
          </w:p>
        </w:tc>
      </w:tr>
      <w:tr>
        <w:trPr/>
        <w:tc>
          <w:tcPr>
            <w:tcW w:w="6244"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2"/>
              </w:rPr>
              <w:t>STOCKHOLDERS' EQUITY</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b/>
                <w:sz w:val="22"/>
              </w:rPr>
            </w:pPr>
            <w:r>
              <w:rPr>
                <w:rFonts w:ascii="Arial" w:hAnsi="Arial"/>
                <w:b/>
                <w:sz w:val="22"/>
              </w:rPr>
              <w:t>$</w:t>
            </w:r>
          </w:p>
        </w:tc>
        <w:tc>
          <w:tcPr>
            <w:tcW w:w="1112" w:type="dxa"/>
            <w:tcBorders>
              <w:bottom w:val="double" w:sz="5" w:space="0" w:color="000000"/>
            </w:tcBorders>
            <w:tcMar>
              <w:bottom w:w="28" w:type="dxa"/>
            </w:tcMar>
            <w:vAlign w:val="bottom"/>
          </w:tcPr>
          <w:p>
            <w:pPr>
              <w:pStyle w:val="TableContents"/>
              <w:bidi w:val="0"/>
              <w:spacing w:before="0" w:after="283"/>
              <w:jc w:val="right"/>
              <w:rPr>
                <w:rFonts w:ascii="Arial" w:hAnsi="Arial"/>
                <w:b/>
                <w:sz w:val="22"/>
              </w:rPr>
            </w:pPr>
            <w:r>
              <w:rPr>
                <w:rFonts w:ascii="Arial" w:hAnsi="Arial"/>
                <w:b/>
                <w:sz w:val="22"/>
              </w:rPr>
              <w:t xml:space="preserve">2,907,914 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color w:val="000000"/>
                <w:sz w:val="22"/>
              </w:rPr>
            </w:pPr>
            <w:r>
              <w:rPr>
                <w:rFonts w:ascii="Arial" w:hAnsi="Arial"/>
                <w:color w:val="000000"/>
                <w:sz w:val="22"/>
              </w:rPr>
              <w:t>$</w:t>
            </w:r>
          </w:p>
        </w:tc>
        <w:tc>
          <w:tcPr>
            <w:tcW w:w="1129" w:type="dxa"/>
            <w:tcBorders>
              <w:bottom w:val="double" w:sz="5" w:space="0" w:color="000000"/>
            </w:tcBorders>
            <w:tcMar>
              <w:bottom w:w="28" w:type="dxa"/>
            </w:tcMar>
            <w:vAlign w:val="bottom"/>
          </w:tcPr>
          <w:p>
            <w:pPr>
              <w:pStyle w:val="TableContents"/>
              <w:bidi w:val="0"/>
              <w:spacing w:before="0" w:after="283"/>
              <w:jc w:val="right"/>
              <w:rPr>
                <w:rFonts w:ascii="Arial" w:hAnsi="Arial"/>
                <w:sz w:val="22"/>
              </w:rPr>
            </w:pPr>
            <w:r>
              <w:rPr>
                <w:rFonts w:ascii="Arial" w:hAnsi="Arial"/>
                <w:sz w:val="22"/>
              </w:rPr>
              <w:t xml:space="preserve">2,365,350 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4267"/>
        <w:gridCol w:w="173"/>
        <w:gridCol w:w="945"/>
        <w:gridCol w:w="173"/>
        <w:gridCol w:w="945"/>
        <w:gridCol w:w="60"/>
        <w:gridCol w:w="60"/>
        <w:gridCol w:w="226"/>
        <w:gridCol w:w="833"/>
        <w:gridCol w:w="226"/>
        <w:gridCol w:w="857"/>
      </w:tblGrid>
      <w:tr>
        <w:trPr/>
        <w:tc>
          <w:tcPr>
            <w:tcW w:w="4267" w:type="dxa"/>
            <w:tcBorders/>
            <w:vAlign w:val="bottom"/>
          </w:tcPr>
          <w:p>
            <w:pPr>
              <w:pStyle w:val="TableContents"/>
              <w:bidi w:val="0"/>
              <w:spacing w:lineRule="auto" w:line="240" w:before="0" w:after="0"/>
              <w:ind w:left="0" w:right="0" w:hanging="0"/>
              <w:jc w:val="left"/>
              <w:rPr>
                <w:rFonts w:cs="Arial"/>
                <w:szCs w:val="2"/>
              </w:rPr>
            </w:pPr>
            <w:r>
              <w:rPr>
                <w:rFonts w:cs="Arial"/>
                <w:szCs w:val="2"/>
              </w:rPr>
              <w: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cs="Arial"/>
                <w:szCs w:val="2"/>
              </w:rPr>
            </w:pPr>
            <w:r>
              <w:rPr>
                <w:rFonts w:cs="Arial"/>
                <w:szCs w:val="2"/>
              </w:rPr>
              <w: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5385" w:type="dxa"/>
            <w:gridSpan w:val="3"/>
            <w:tcBorders/>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 xml:space="preserve">Consolidated Statements of Income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5385" w:type="dxa"/>
            <w:gridSpan w:val="3"/>
            <w:tcBorders/>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(dollars in thousands, except per share data)</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pPr>
            <w:r>
              <w:rPr/>
              <w:t> </w:t>
            </w:r>
            <w:r>
              <w:rPr>
                <w:rFonts w:ascii="Arial" w:hAnsi="Arial"/>
                <w:b/>
                <w:sz w:val="18"/>
              </w:rPr>
              <w:t>(unaudited)</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2236" w:type="dxa"/>
            <w:gridSpan w:val="4"/>
            <w:tcBorders/>
            <w:vAlign w:val="bottom"/>
          </w:tcPr>
          <w:p>
            <w:pPr>
              <w:pStyle w:val="TableContents"/>
              <w:bidi w:val="0"/>
              <w:spacing w:lineRule="auto" w:line="240" w:before="0" w:after="0"/>
              <w:ind w:left="0" w:right="0" w:hanging="0"/>
              <w:jc w:val="center"/>
              <w:rPr/>
            </w:pPr>
            <w:r>
              <w:rPr/>
              <w:t> </w:t>
            </w:r>
            <w:r>
              <w:rPr>
                <w:rFonts w:ascii="Arial" w:hAnsi="Arial"/>
                <w:sz w:val="18"/>
              </w:rPr>
              <w:t>Three Months Ended June 30,</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142" w:type="dxa"/>
            <w:gridSpan w:val="4"/>
            <w:tcBorders/>
            <w:vAlign w:val="bottom"/>
          </w:tcPr>
          <w:p>
            <w:pPr>
              <w:pStyle w:val="TableContents"/>
              <w:bidi w:val="0"/>
              <w:spacing w:lineRule="auto" w:line="240" w:before="0" w:after="0"/>
              <w:ind w:left="0" w:right="0" w:hanging="0"/>
              <w:jc w:val="center"/>
              <w:rPr/>
            </w:pPr>
            <w:r>
              <w:rPr/>
              <w:t> </w:t>
            </w:r>
            <w:r>
              <w:rPr>
                <w:rFonts w:ascii="Arial" w:hAnsi="Arial"/>
                <w:sz w:val="18"/>
              </w:rPr>
              <w:t>Six Months Ended June 30,</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18"/>
              </w:rPr>
            </w:pPr>
            <w:r>
              <w:rPr>
                <w:rFonts w:ascii="Arial" w:hAnsi="Arial"/>
                <w:b/>
                <w:sz w:val="18"/>
              </w:rPr>
              <w:t>2026</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8"/>
              </w:rPr>
            </w:pPr>
            <w:r>
              <w:rPr>
                <w:rFonts w:ascii="Arial" w:hAnsi="Arial"/>
                <w:sz w:val="18"/>
              </w:rPr>
              <w:t>2025</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18"/>
              </w:rPr>
            </w:pPr>
            <w:r>
              <w:rPr>
                <w:rFonts w:ascii="Arial" w:hAnsi="Arial"/>
                <w:b/>
                <w:sz w:val="18"/>
              </w:rPr>
              <w:t>2026</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8"/>
              </w:rPr>
            </w:pPr>
            <w:r>
              <w:rPr>
                <w:rFonts w:ascii="Arial" w:hAnsi="Arial"/>
                <w:sz w:val="18"/>
              </w:rPr>
              <w:t>2025</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INTEREST INCOME</w:t>
            </w:r>
          </w:p>
        </w:tc>
        <w:tc>
          <w:tcPr>
            <w:tcW w:w="17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Loans receivable, including fees</w:t>
            </w:r>
          </w:p>
        </w:tc>
        <w:tc>
          <w:tcPr>
            <w:tcW w:w="173" w:type="dxa"/>
            <w:tcBorders/>
            <w:shd w:fill="CCEEFF" w:val="cle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35,585  </w:t>
            </w:r>
          </w:p>
        </w:tc>
        <w:tc>
          <w:tcPr>
            <w:tcW w:w="173"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27,115 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69,458  </w:t>
            </w:r>
          </w:p>
        </w:tc>
        <w:tc>
          <w:tcPr>
            <w:tcW w:w="226"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53,103 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Securities</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4,495 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3,871 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8,605 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7,742 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Other</w:t>
            </w:r>
          </w:p>
        </w:tc>
        <w:tc>
          <w:tcPr>
            <w:tcW w:w="173"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377  </w:t>
            </w:r>
          </w:p>
        </w:tc>
        <w:tc>
          <w:tcPr>
            <w:tcW w:w="173"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220 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777 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446 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Total Interest income</w:t>
            </w:r>
          </w:p>
        </w:tc>
        <w:tc>
          <w:tcPr>
            <w:tcW w:w="17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40,457  </w:t>
            </w:r>
          </w:p>
        </w:tc>
        <w:tc>
          <w:tcPr>
            <w:tcW w:w="17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31,206 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78,840 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61,291  </w:t>
            </w:r>
          </w:p>
        </w:tc>
      </w:tr>
      <w:tr>
        <w:trPr/>
        <w:tc>
          <w:tcPr>
            <w:tcW w:w="4267" w:type="dxa"/>
            <w:tcBorders/>
            <w:shd w:fill="CCEEFF" w:val="clear"/>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lineRule="auto" w:line="240" w:before="0" w:after="0"/>
              <w:ind w:left="0" w:right="0" w:hanging="0"/>
              <w:jc w:val="left"/>
              <w:rPr/>
            </w:pPr>
            <w:r>
              <w:rPr/>
              <w:t>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INTEREST EXPENSE</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Deposits</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12,899 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10,869 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25,686 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21,617 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Short-term borrowings</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32 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211 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92 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669 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Other borrowings</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687 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1,061 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1,669  </w:t>
            </w:r>
          </w:p>
        </w:tc>
        <w:tc>
          <w:tcPr>
            <w:tcW w:w="22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2,082 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Total Interest expense</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13,618 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12,141 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33"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27,447  </w:t>
            </w:r>
          </w:p>
        </w:tc>
        <w:tc>
          <w:tcPr>
            <w:tcW w:w="226"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57"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Arial" w:hAnsi="Arial"/>
                <w:sz w:val="18"/>
              </w:rPr>
            </w:pPr>
            <w:r>
              <w:rPr>
                <w:rFonts w:ascii="Arial" w:hAnsi="Arial"/>
                <w:sz w:val="18"/>
              </w:rPr>
              <w:t xml:space="preserve">24,368  </w:t>
            </w:r>
          </w:p>
        </w:tc>
      </w:tr>
      <w:tr>
        <w:trPr/>
        <w:tc>
          <w:tcPr>
            <w:tcW w:w="4267"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NET INTEREST INCOME</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26,839  </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19,065 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51,393 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36,923 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PROVISION FOR CREDIT LOSSES</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1,944 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950 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3,403 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1,807  </w:t>
            </w:r>
          </w:p>
        </w:tc>
      </w:tr>
      <w:tr>
        <w:trPr/>
        <w:tc>
          <w:tcPr>
            <w:tcW w:w="4267"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NET INTEREST INCOME AFTER PROVISION FOR CREDIT LOSSES</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24,895 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18,115 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47,990 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35,116  </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OTHER INCOME</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lineRule="auto" w:line="240" w:before="0" w:after="0"/>
              <w:ind w:left="0" w:right="0" w:hanging="0"/>
              <w:jc w:val="left"/>
              <w:rPr/>
            </w:pPr>
            <w:r>
              <w:rPr/>
              <w:t>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Service charges and fees</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1,666 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1,514 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3,421 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3,027 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Income from fiduciary activities</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248 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226 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486  </w:t>
            </w:r>
          </w:p>
        </w:tc>
        <w:tc>
          <w:tcPr>
            <w:tcW w:w="226" w:type="dxa"/>
            <w:tcBorders/>
            <w:shd w:fill="CCEEFF" w:val="clear"/>
            <w:vAlign w:val="bottom"/>
          </w:tcPr>
          <w:p>
            <w:pPr>
              <w:pStyle w:val="TableContents"/>
              <w:bidi w:val="0"/>
              <w:spacing w:lineRule="auto" w:line="240" w:before="0" w:after="0"/>
              <w:ind w:left="0" w:right="0" w:hanging="0"/>
              <w:jc w:val="righ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551  </w:t>
            </w:r>
          </w:p>
        </w:tc>
      </w:tr>
      <w:tr>
        <w:trPr/>
        <w:tc>
          <w:tcPr>
            <w:tcW w:w="4267" w:type="dxa"/>
            <w:tcBorders/>
            <w:vAlign w:val="bottom"/>
          </w:tcPr>
          <w:p>
            <w:pPr>
              <w:pStyle w:val="TableContents"/>
              <w:bidi w:val="0"/>
              <w:spacing w:lineRule="auto" w:line="240" w:before="0" w:after="0"/>
              <w:ind w:left="0" w:right="0" w:hanging="0"/>
              <w:jc w:val="left"/>
              <w:rPr/>
            </w:pPr>
            <w:r>
              <w:rPr/>
              <w:t>   </w:t>
            </w:r>
            <w:r>
              <w:rPr>
                <w:rFonts w:ascii="Arial" w:hAnsi="Arial"/>
                <w:sz w:val="18"/>
              </w:rPr>
              <w:t xml:space="preserve">Gains on sales of loans, net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54  </w:t>
            </w:r>
          </w:p>
        </w:tc>
        <w:tc>
          <w:tcPr>
            <w:tcW w:w="173" w:type="dxa"/>
            <w:tcBorders/>
            <w:vAlign w:val="bottom"/>
          </w:tcPr>
          <w:p>
            <w:pPr>
              <w:pStyle w:val="TableContents"/>
              <w:bidi w:val="0"/>
              <w:spacing w:lineRule="auto" w:line="240" w:before="0" w:after="0"/>
              <w:ind w:left="0" w:right="0" w:hanging="0"/>
              <w:jc w:val="righ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65  </w:t>
            </w:r>
          </w:p>
        </w:tc>
        <w:tc>
          <w:tcPr>
            <w:tcW w:w="60" w:type="dxa"/>
            <w:tcBorders/>
            <w:vAlign w:val="bottom"/>
          </w:tcPr>
          <w:p>
            <w:pPr>
              <w:pStyle w:val="TableContents"/>
              <w:bidi w:val="0"/>
              <w:spacing w:lineRule="auto" w:line="240" w:before="0" w:after="0"/>
              <w:ind w:left="0" w:right="0" w:hanging="0"/>
              <w:jc w:val="right"/>
              <w:rPr/>
            </w:pPr>
            <w:r>
              <w:rPr/>
              <w:t> </w:t>
            </w:r>
          </w:p>
        </w:tc>
        <w:tc>
          <w:tcPr>
            <w:tcW w:w="60" w:type="dxa"/>
            <w:tcBorders/>
            <w:vAlign w:val="bottom"/>
          </w:tcPr>
          <w:p>
            <w:pPr>
              <w:pStyle w:val="TableContents"/>
              <w:bidi w:val="0"/>
              <w:spacing w:lineRule="auto" w:line="240" w:before="0" w:after="0"/>
              <w:ind w:left="0" w:right="0" w:hanging="0"/>
              <w:jc w:val="right"/>
              <w:rPr/>
            </w:pPr>
            <w:r>
              <w:rPr/>
              <w:t> </w:t>
            </w:r>
          </w:p>
        </w:tc>
        <w:tc>
          <w:tcPr>
            <w:tcW w:w="226" w:type="dxa"/>
            <w:tcBorders/>
            <w:vAlign w:val="bottom"/>
          </w:tcPr>
          <w:p>
            <w:pPr>
              <w:pStyle w:val="TableContents"/>
              <w:bidi w:val="0"/>
              <w:spacing w:lineRule="auto" w:line="240" w:before="0" w:after="0"/>
              <w:ind w:left="0" w:right="0" w:hanging="0"/>
              <w:jc w:val="righ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131  </w:t>
            </w:r>
          </w:p>
        </w:tc>
        <w:tc>
          <w:tcPr>
            <w:tcW w:w="226" w:type="dxa"/>
            <w:tcBorders/>
            <w:vAlign w:val="bottom"/>
          </w:tcPr>
          <w:p>
            <w:pPr>
              <w:pStyle w:val="TableContents"/>
              <w:bidi w:val="0"/>
              <w:spacing w:lineRule="auto" w:line="240" w:before="0" w:after="0"/>
              <w:ind w:left="0" w:right="0" w:hanging="0"/>
              <w:jc w:val="righ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112  </w:t>
            </w:r>
          </w:p>
        </w:tc>
      </w:tr>
      <w:tr>
        <w:trPr/>
        <w:tc>
          <w:tcPr>
            <w:tcW w:w="4440" w:type="dxa"/>
            <w:gridSpan w:val="2"/>
            <w:tcBorders/>
            <w:shd w:fill="CCEEFF" w:val="clear"/>
            <w:vAlign w:val="bottom"/>
          </w:tcPr>
          <w:p>
            <w:pPr>
              <w:pStyle w:val="TableContents"/>
              <w:bidi w:val="0"/>
              <w:spacing w:lineRule="auto" w:line="240" w:before="0" w:after="0"/>
              <w:ind w:left="0" w:right="0" w:hanging="0"/>
              <w:jc w:val="left"/>
              <w:rPr/>
            </w:pPr>
            <w:r>
              <w:rPr/>
              <w:t>   </w:t>
            </w:r>
            <w:r>
              <w:rPr>
                <w:rFonts w:ascii="Arial" w:hAnsi="Arial"/>
                <w:sz w:val="18"/>
              </w:rPr>
              <w:t>Earnings and proceeds on life insurance policies</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326 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266 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640 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552 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 xml:space="preserve">Other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232 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177 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564 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357 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Total other income</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2,526  </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2,248 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5,242 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4,599  </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OTHER EXPENSES</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Salaries and  employee benefits</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8,674 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6,605 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17,223 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13,077 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Occupancy, furniture and equipment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1,569 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1,349 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3,294 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2,727  </w:t>
            </w:r>
          </w:p>
        </w:tc>
      </w:tr>
      <w:tr>
        <w:trPr/>
        <w:tc>
          <w:tcPr>
            <w:tcW w:w="4440" w:type="dxa"/>
            <w:gridSpan w:val="2"/>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Data processing  and related operations</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1,576 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1,189 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3,010 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2,274 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Taxes, other than income</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174 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192 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376 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385 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Professional fees</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596 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473 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1,422 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1,132 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FDIC Insurance assessment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428  </w:t>
            </w:r>
          </w:p>
        </w:tc>
        <w:tc>
          <w:tcPr>
            <w:tcW w:w="173" w:type="dxa"/>
            <w:tcBorders/>
            <w:vAlign w:val="bottom"/>
          </w:tcPr>
          <w:p>
            <w:pPr>
              <w:pStyle w:val="TableContents"/>
              <w:bidi w:val="0"/>
              <w:spacing w:lineRule="auto" w:line="240" w:before="0" w:after="0"/>
              <w:ind w:left="0" w:right="0" w:hanging="0"/>
              <w:jc w:val="righ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355  </w:t>
            </w:r>
          </w:p>
        </w:tc>
        <w:tc>
          <w:tcPr>
            <w:tcW w:w="60" w:type="dxa"/>
            <w:tcBorders/>
            <w:vAlign w:val="bottom"/>
          </w:tcPr>
          <w:p>
            <w:pPr>
              <w:pStyle w:val="TableContents"/>
              <w:bidi w:val="0"/>
              <w:spacing w:lineRule="auto" w:line="240" w:before="0" w:after="0"/>
              <w:ind w:left="0" w:right="0" w:hanging="0"/>
              <w:jc w:val="right"/>
              <w:rPr/>
            </w:pPr>
            <w:r>
              <w:rPr/>
              <w:t> </w:t>
            </w:r>
          </w:p>
        </w:tc>
        <w:tc>
          <w:tcPr>
            <w:tcW w:w="60" w:type="dxa"/>
            <w:tcBorders/>
            <w:vAlign w:val="bottom"/>
          </w:tcPr>
          <w:p>
            <w:pPr>
              <w:pStyle w:val="TableContents"/>
              <w:bidi w:val="0"/>
              <w:spacing w:lineRule="auto" w:line="240" w:before="0" w:after="0"/>
              <w:ind w:left="0" w:right="0" w:hanging="0"/>
              <w:jc w:val="right"/>
              <w:rPr/>
            </w:pPr>
            <w:r>
              <w:rPr/>
              <w:t> </w:t>
            </w:r>
          </w:p>
        </w:tc>
        <w:tc>
          <w:tcPr>
            <w:tcW w:w="226" w:type="dxa"/>
            <w:tcBorders/>
            <w:vAlign w:val="bottom"/>
          </w:tcPr>
          <w:p>
            <w:pPr>
              <w:pStyle w:val="TableContents"/>
              <w:bidi w:val="0"/>
              <w:spacing w:lineRule="auto" w:line="240" w:before="0" w:after="0"/>
              <w:ind w:left="0" w:right="0" w:hanging="0"/>
              <w:jc w:val="righ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935  </w:t>
            </w:r>
          </w:p>
        </w:tc>
        <w:tc>
          <w:tcPr>
            <w:tcW w:w="226" w:type="dxa"/>
            <w:tcBorders/>
            <w:vAlign w:val="bottom"/>
          </w:tcPr>
          <w:p>
            <w:pPr>
              <w:pStyle w:val="TableContents"/>
              <w:bidi w:val="0"/>
              <w:spacing w:lineRule="auto" w:line="240" w:before="0" w:after="0"/>
              <w:ind w:left="0" w:right="0" w:hanging="0"/>
              <w:jc w:val="righ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761  </w:t>
            </w:r>
          </w:p>
        </w:tc>
      </w:tr>
      <w:tr>
        <w:trPr/>
        <w:tc>
          <w:tcPr>
            <w:tcW w:w="4267"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 xml:space="preserve">Foreclosed real estate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31 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137 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67 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141 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Amortization of intangibles</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165 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15 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331 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30  </w:t>
            </w:r>
          </w:p>
        </w:tc>
      </w:tr>
      <w:tr>
        <w:trPr/>
        <w:tc>
          <w:tcPr>
            <w:tcW w:w="4267"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8"/>
              </w:rPr>
              <w:t>Merger</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53  </w:t>
            </w:r>
          </w:p>
        </w:tc>
        <w:tc>
          <w:tcPr>
            <w:tcW w:w="173" w:type="dxa"/>
            <w:tcBorders/>
            <w:shd w:fill="CCEEFF" w:val="clear"/>
            <w:vAlign w:val="bottom"/>
          </w:tcPr>
          <w:p>
            <w:pPr>
              <w:pStyle w:val="TableContents"/>
              <w:bidi w:val="0"/>
              <w:spacing w:lineRule="auto" w:line="240" w:before="0" w:after="0"/>
              <w:ind w:left="0" w:right="0" w:hanging="0"/>
              <w:jc w:val="left"/>
              <w:rPr/>
            </w:pPr>
            <w:r>
              <w:rPr/>
              <w:t> </w:t>
            </w:r>
          </w:p>
        </w:tc>
        <w:tc>
          <w:tcPr>
            <w:tcW w:w="945"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150 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33" w:type="dxa"/>
            <w:tcBorders/>
            <w:shd w:fill="CCEEFF" w:val="clear"/>
            <w:vAlign w:val="bottom"/>
          </w:tcPr>
          <w:p>
            <w:pPr>
              <w:pStyle w:val="TableContents"/>
              <w:bidi w:val="0"/>
              <w:spacing w:before="0" w:after="283"/>
              <w:jc w:val="right"/>
              <w:rPr>
                <w:rFonts w:ascii="Arial" w:hAnsi="Arial"/>
                <w:b/>
                <w:sz w:val="18"/>
              </w:rPr>
            </w:pPr>
            <w:r>
              <w:rPr>
                <w:rFonts w:ascii="Arial" w:hAnsi="Arial"/>
                <w:b/>
                <w:sz w:val="18"/>
              </w:rPr>
              <w:t xml:space="preserve">4,994  </w:t>
            </w:r>
          </w:p>
        </w:tc>
        <w:tc>
          <w:tcPr>
            <w:tcW w:w="226" w:type="dxa"/>
            <w:tcBorders/>
            <w:shd w:fill="CCEEFF" w:val="clear"/>
            <w:vAlign w:val="bottom"/>
          </w:tcPr>
          <w:p>
            <w:pPr>
              <w:pStyle w:val="TableContents"/>
              <w:bidi w:val="0"/>
              <w:spacing w:lineRule="auto" w:line="240" w:before="0" w:after="0"/>
              <w:ind w:left="0" w:right="0" w:hanging="0"/>
              <w:jc w:val="left"/>
              <w:rPr/>
            </w:pPr>
            <w:r>
              <w:rPr/>
              <w:t> </w:t>
            </w:r>
          </w:p>
        </w:tc>
        <w:tc>
          <w:tcPr>
            <w:tcW w:w="857" w:type="dxa"/>
            <w:tcBorders/>
            <w:shd w:fill="CCEEFF" w:val="clear"/>
            <w:vAlign w:val="bottom"/>
          </w:tcPr>
          <w:p>
            <w:pPr>
              <w:pStyle w:val="TableContents"/>
              <w:bidi w:val="0"/>
              <w:spacing w:before="0" w:after="283"/>
              <w:jc w:val="right"/>
              <w:rPr>
                <w:rFonts w:ascii="Arial" w:hAnsi="Arial"/>
                <w:sz w:val="18"/>
              </w:rPr>
            </w:pPr>
            <w:r>
              <w:rPr>
                <w:rFonts w:ascii="Arial" w:hAnsi="Arial"/>
                <w:sz w:val="18"/>
              </w:rPr>
              <w:t xml:space="preserve">150  </w:t>
            </w:r>
          </w:p>
        </w:tc>
      </w:tr>
      <w:tr>
        <w:trPr/>
        <w:tc>
          <w:tcPr>
            <w:tcW w:w="4267"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8"/>
              </w:rPr>
              <w:t xml:space="preserve">Other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2,526  </w:t>
            </w:r>
          </w:p>
        </w:tc>
        <w:tc>
          <w:tcPr>
            <w:tcW w:w="17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2,066 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5,131  </w:t>
            </w:r>
          </w:p>
        </w:tc>
        <w:tc>
          <w:tcPr>
            <w:tcW w:w="22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3,918  </w:t>
            </w:r>
          </w:p>
        </w:tc>
      </w:tr>
      <w:tr>
        <w:trPr/>
        <w:tc>
          <w:tcPr>
            <w:tcW w:w="4267"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8"/>
              </w:rPr>
              <w:t>Total other expenses</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15,792  </w:t>
            </w:r>
          </w:p>
        </w:tc>
        <w:tc>
          <w:tcPr>
            <w:tcW w:w="173"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12,531 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b/>
                <w:sz w:val="18"/>
              </w:rPr>
            </w:pPr>
            <w:r>
              <w:rPr>
                <w:rFonts w:ascii="Arial" w:hAnsi="Arial"/>
                <w:b/>
                <w:sz w:val="18"/>
              </w:rPr>
              <w:t xml:space="preserve">36,783  </w:t>
            </w:r>
          </w:p>
        </w:tc>
        <w:tc>
          <w:tcPr>
            <w:tcW w:w="226"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8"/>
              </w:rPr>
            </w:pPr>
            <w:r>
              <w:rPr>
                <w:rFonts w:ascii="Arial" w:hAnsi="Arial"/>
                <w:sz w:val="18"/>
              </w:rPr>
              <w:t xml:space="preserve">24,595  </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INCOME BEFORE TAX EXPENSE</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b/>
                <w:sz w:val="18"/>
              </w:rPr>
            </w:pPr>
            <w:r>
              <w:rPr>
                <w:rFonts w:ascii="Arial" w:hAnsi="Arial"/>
                <w:b/>
                <w:sz w:val="18"/>
              </w:rPr>
              <w:t xml:space="preserve">11,629  </w:t>
            </w:r>
          </w:p>
        </w:tc>
        <w:tc>
          <w:tcPr>
            <w:tcW w:w="173" w:type="dxa"/>
            <w:tcBorders/>
            <w:vAlign w:val="bottom"/>
          </w:tcPr>
          <w:p>
            <w:pPr>
              <w:pStyle w:val="TableContents"/>
              <w:bidi w:val="0"/>
              <w:spacing w:lineRule="auto" w:line="240" w:before="0" w:after="0"/>
              <w:ind w:left="0" w:right="0" w:hanging="0"/>
              <w:jc w:val="left"/>
              <w:rPr/>
            </w:pPr>
            <w:r>
              <w:rPr/>
              <w:t> </w:t>
            </w:r>
          </w:p>
        </w:tc>
        <w:tc>
          <w:tcPr>
            <w:tcW w:w="945" w:type="dxa"/>
            <w:tcBorders/>
            <w:vAlign w:val="bottom"/>
          </w:tcPr>
          <w:p>
            <w:pPr>
              <w:pStyle w:val="TableContents"/>
              <w:bidi w:val="0"/>
              <w:spacing w:before="0" w:after="283"/>
              <w:jc w:val="right"/>
              <w:rPr>
                <w:rFonts w:ascii="Arial" w:hAnsi="Arial"/>
                <w:sz w:val="18"/>
              </w:rPr>
            </w:pPr>
            <w:r>
              <w:rPr>
                <w:rFonts w:ascii="Arial" w:hAnsi="Arial"/>
                <w:sz w:val="18"/>
              </w:rPr>
              <w:t xml:space="preserve">7,832 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vAlign w:val="bottom"/>
          </w:tcPr>
          <w:p>
            <w:pPr>
              <w:pStyle w:val="TableContents"/>
              <w:bidi w:val="0"/>
              <w:spacing w:lineRule="auto" w:line="240" w:before="0" w:after="0"/>
              <w:ind w:left="0" w:right="0" w:hanging="0"/>
              <w:jc w:val="left"/>
              <w:rPr/>
            </w:pPr>
            <w:r>
              <w:rPr/>
              <w:t> </w:t>
            </w:r>
          </w:p>
        </w:tc>
        <w:tc>
          <w:tcPr>
            <w:tcW w:w="833" w:type="dxa"/>
            <w:tcBorders/>
            <w:vAlign w:val="bottom"/>
          </w:tcPr>
          <w:p>
            <w:pPr>
              <w:pStyle w:val="TableContents"/>
              <w:bidi w:val="0"/>
              <w:spacing w:before="0" w:after="283"/>
              <w:jc w:val="right"/>
              <w:rPr>
                <w:rFonts w:ascii="Arial" w:hAnsi="Arial"/>
                <w:b/>
                <w:sz w:val="18"/>
              </w:rPr>
            </w:pPr>
            <w:r>
              <w:rPr>
                <w:rFonts w:ascii="Arial" w:hAnsi="Arial"/>
                <w:b/>
                <w:sz w:val="18"/>
              </w:rPr>
              <w:t xml:space="preserve">16,449  </w:t>
            </w:r>
          </w:p>
        </w:tc>
        <w:tc>
          <w:tcPr>
            <w:tcW w:w="226" w:type="dxa"/>
            <w:tcBorders/>
            <w:vAlign w:val="bottom"/>
          </w:tcPr>
          <w:p>
            <w:pPr>
              <w:pStyle w:val="TableContents"/>
              <w:bidi w:val="0"/>
              <w:spacing w:lineRule="auto" w:line="240" w:before="0" w:after="0"/>
              <w:ind w:left="0" w:right="0" w:hanging="0"/>
              <w:jc w:val="left"/>
              <w:rPr/>
            </w:pPr>
            <w:r>
              <w:rPr/>
              <w:t> </w:t>
            </w:r>
          </w:p>
        </w:tc>
        <w:tc>
          <w:tcPr>
            <w:tcW w:w="857" w:type="dxa"/>
            <w:tcBorders/>
            <w:vAlign w:val="bottom"/>
          </w:tcPr>
          <w:p>
            <w:pPr>
              <w:pStyle w:val="TableContents"/>
              <w:bidi w:val="0"/>
              <w:spacing w:before="0" w:after="283"/>
              <w:jc w:val="right"/>
              <w:rPr>
                <w:rFonts w:ascii="Arial" w:hAnsi="Arial"/>
                <w:sz w:val="18"/>
              </w:rPr>
            </w:pPr>
            <w:r>
              <w:rPr>
                <w:rFonts w:ascii="Arial" w:hAnsi="Arial"/>
                <w:sz w:val="18"/>
              </w:rPr>
              <w:t xml:space="preserve">15,120  </w:t>
            </w:r>
          </w:p>
        </w:tc>
      </w:tr>
      <w:tr>
        <w:trPr/>
        <w:tc>
          <w:tcPr>
            <w:tcW w:w="4267"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 xml:space="preserve">INCOME TAX EXPENSE </w:t>
            </w:r>
          </w:p>
        </w:tc>
        <w:tc>
          <w:tcPr>
            <w:tcW w:w="173"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2,301  </w:t>
            </w:r>
          </w:p>
        </w:tc>
        <w:tc>
          <w:tcPr>
            <w:tcW w:w="173"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4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1,627 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33"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3,391  </w:t>
            </w:r>
          </w:p>
        </w:tc>
        <w:tc>
          <w:tcPr>
            <w:tcW w:w="22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5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3,142 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NET INCOME</w:t>
            </w:r>
          </w:p>
        </w:tc>
        <w:tc>
          <w:tcPr>
            <w:tcW w:w="17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94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9,328  </w:t>
            </w:r>
          </w:p>
        </w:tc>
        <w:tc>
          <w:tcPr>
            <w:tcW w:w="17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94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8"/>
              </w:rPr>
            </w:pPr>
            <w:r>
              <w:rPr>
                <w:rFonts w:ascii="Arial" w:hAnsi="Arial"/>
                <w:sz w:val="18"/>
              </w:rPr>
              <w:t xml:space="preserve">6,205 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r>
              <w:rPr>
                <w:rFonts w:ascii="Arial" w:hAnsi="Arial"/>
                <w:b/>
                <w:sz w:val="18"/>
              </w:rPr>
              <w:t>$</w:t>
            </w:r>
          </w:p>
        </w:tc>
        <w:tc>
          <w:tcPr>
            <w:tcW w:w="833"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13,058  </w:t>
            </w:r>
          </w:p>
        </w:tc>
        <w:tc>
          <w:tcPr>
            <w:tcW w:w="22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r>
              <w:rPr>
                <w:rFonts w:ascii="Arial" w:hAnsi="Arial"/>
                <w:b/>
                <w:sz w:val="18"/>
              </w:rPr>
              <w:t>$</w:t>
            </w:r>
          </w:p>
        </w:tc>
        <w:tc>
          <w:tcPr>
            <w:tcW w:w="85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11,978  </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2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267" w:type="dxa"/>
            <w:tcBorders/>
            <w:shd w:fill="CCEEFF" w:val="cle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 xml:space="preserve">Basic earnings per share  </w:t>
            </w:r>
          </w:p>
        </w:tc>
        <w:tc>
          <w:tcPr>
            <w:tcW w:w="173"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945"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0.86  </w:t>
            </w:r>
          </w:p>
        </w:tc>
        <w:tc>
          <w:tcPr>
            <w:tcW w:w="173"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945"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0.67 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26"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833"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1.21  </w:t>
            </w:r>
          </w:p>
        </w:tc>
        <w:tc>
          <w:tcPr>
            <w:tcW w:w="226"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857"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1.30  </w:t>
            </w:r>
          </w:p>
        </w:tc>
      </w:tr>
      <w:tr>
        <w:trPr/>
        <w:tc>
          <w:tcPr>
            <w:tcW w:w="4267" w:type="dxa"/>
            <w:tcBorders/>
            <w:vAlign w:val="bottom"/>
          </w:tcPr>
          <w:p>
            <w:pPr>
              <w:pStyle w:val="TableContents"/>
              <w:bidi w:val="0"/>
              <w:spacing w:lineRule="auto" w:line="240" w:before="0" w:after="0"/>
              <w:ind w:left="0" w:right="0" w:hanging="0"/>
              <w:jc w:val="left"/>
              <w:rPr>
                <w:rFonts w:cs="Arial"/>
                <w:szCs w:val="18"/>
              </w:rPr>
            </w:pPr>
            <w:r>
              <w:rPr>
                <w:rFonts w:cs="Arial"/>
                <w:szCs w:val="18"/>
              </w:rPr>
              <w:t>﻿</w:t>
            </w:r>
          </w:p>
        </w:tc>
        <w:tc>
          <w:tcPr>
            <w:tcW w:w="17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7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4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2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5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267" w:type="dxa"/>
            <w:tcBorders/>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 xml:space="preserve">Diluted earnings per share  </w:t>
            </w:r>
          </w:p>
        </w:tc>
        <w:tc>
          <w:tcPr>
            <w:tcW w:w="173"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945" w:type="dxa"/>
            <w:tcBorders>
              <w:bottom w:val="double" w:sz="5"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0.86  </w:t>
            </w:r>
          </w:p>
        </w:tc>
        <w:tc>
          <w:tcPr>
            <w:tcW w:w="173"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945" w:type="dxa"/>
            <w:tcBorders>
              <w:bottom w:val="double" w:sz="5"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0.67 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226"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b/>
                <w:sz w:val="18"/>
              </w:rPr>
            </w:pPr>
            <w:r>
              <w:rPr>
                <w:rFonts w:ascii="Arial" w:hAnsi="Arial"/>
                <w:b/>
                <w:sz w:val="18"/>
              </w:rPr>
              <w:t>$</w:t>
            </w:r>
          </w:p>
        </w:tc>
        <w:tc>
          <w:tcPr>
            <w:tcW w:w="833" w:type="dxa"/>
            <w:tcBorders>
              <w:bottom w:val="double" w:sz="5" w:space="0" w:color="000000"/>
            </w:tcBorders>
            <w:tcMar>
              <w:bottom w:w="28" w:type="dxa"/>
            </w:tcMar>
            <w:vAlign w:val="bottom"/>
          </w:tcPr>
          <w:p>
            <w:pPr>
              <w:pStyle w:val="TableContents"/>
              <w:bidi w:val="0"/>
              <w:spacing w:before="0" w:after="283"/>
              <w:jc w:val="right"/>
              <w:rPr>
                <w:rFonts w:ascii="Arial" w:hAnsi="Arial"/>
                <w:b/>
                <w:sz w:val="18"/>
              </w:rPr>
            </w:pPr>
            <w:r>
              <w:rPr>
                <w:rFonts w:ascii="Arial" w:hAnsi="Arial"/>
                <w:b/>
                <w:sz w:val="18"/>
              </w:rPr>
              <w:t xml:space="preserve">1.21  </w:t>
            </w:r>
          </w:p>
        </w:tc>
        <w:tc>
          <w:tcPr>
            <w:tcW w:w="226"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color w:val="000000"/>
                <w:sz w:val="18"/>
              </w:rPr>
            </w:pPr>
            <w:r>
              <w:rPr>
                <w:rFonts w:ascii="Arial" w:hAnsi="Arial"/>
                <w:color w:val="000000"/>
                <w:sz w:val="18"/>
              </w:rPr>
              <w:t>$</w:t>
            </w:r>
          </w:p>
        </w:tc>
        <w:tc>
          <w:tcPr>
            <w:tcW w:w="857" w:type="dxa"/>
            <w:tcBorders>
              <w:bottom w:val="double" w:sz="5" w:space="0" w:color="000000"/>
            </w:tcBorders>
            <w:tcMar>
              <w:bottom w:w="28" w:type="dxa"/>
            </w:tcMar>
            <w:vAlign w:val="bottom"/>
          </w:tcPr>
          <w:p>
            <w:pPr>
              <w:pStyle w:val="TableContents"/>
              <w:bidi w:val="0"/>
              <w:spacing w:before="0" w:after="283"/>
              <w:jc w:val="right"/>
              <w:rPr>
                <w:rFonts w:ascii="Arial" w:hAnsi="Arial"/>
                <w:sz w:val="18"/>
              </w:rPr>
            </w:pPr>
            <w:r>
              <w:rPr>
                <w:rFonts w:ascii="Arial" w:hAnsi="Arial"/>
                <w:sz w:val="18"/>
              </w:rPr>
              <w:t xml:space="preserve">1.30 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2101"/>
        <w:gridCol w:w="99"/>
        <w:gridCol w:w="759"/>
        <w:gridCol w:w="99"/>
        <w:gridCol w:w="555"/>
        <w:gridCol w:w="77"/>
        <w:gridCol w:w="491"/>
        <w:gridCol w:w="167"/>
        <w:gridCol w:w="99"/>
        <w:gridCol w:w="725"/>
        <w:gridCol w:w="95"/>
        <w:gridCol w:w="530"/>
        <w:gridCol w:w="80"/>
        <w:gridCol w:w="512"/>
        <w:gridCol w:w="158"/>
        <w:gridCol w:w="95"/>
        <w:gridCol w:w="725"/>
        <w:gridCol w:w="95"/>
        <w:gridCol w:w="530"/>
        <w:gridCol w:w="80"/>
        <w:gridCol w:w="512"/>
        <w:gridCol w:w="181"/>
      </w:tblGrid>
      <w:tr>
        <w:trPr/>
        <w:tc>
          <w:tcPr>
            <w:tcW w:w="2101" w:type="dxa"/>
            <w:tcBorders/>
            <w:vAlign w:val="bottom"/>
          </w:tcPr>
          <w:p>
            <w:pPr>
              <w:pStyle w:val="TableContents"/>
              <w:bidi w:val="0"/>
              <w:spacing w:lineRule="auto" w:line="276" w:before="0" w:after="0"/>
              <w:ind w:left="0" w:right="0" w:hanging="0"/>
              <w:jc w:val="left"/>
              <w:rPr>
                <w:rFonts w:cs="Arial"/>
                <w:szCs w:val="2"/>
              </w:rPr>
            </w:pPr>
            <w:r>
              <w:rPr>
                <w:rFonts w:cs="Arial"/>
                <w:szCs w:val="2"/>
              </w:rPr>
              <w:t>﻿</w:t>
            </w:r>
          </w:p>
        </w:tc>
        <w:tc>
          <w:tcPr>
            <w:tcW w:w="99" w:type="dxa"/>
            <w:tcBorders/>
            <w:vAlign w:val="bottom"/>
          </w:tcPr>
          <w:p>
            <w:pPr>
              <w:pStyle w:val="TableContents"/>
              <w:bidi w:val="0"/>
              <w:spacing w:lineRule="auto" w:line="276" w:before="0" w:after="0"/>
              <w:ind w:left="0" w:right="0" w:hanging="0"/>
              <w:jc w:val="left"/>
              <w:rPr/>
            </w:pPr>
            <w:r>
              <w:rPr/>
              <w:t> </w:t>
            </w:r>
          </w:p>
        </w:tc>
        <w:tc>
          <w:tcPr>
            <w:tcW w:w="759" w:type="dxa"/>
            <w:tcBorders/>
            <w:vAlign w:val="bottom"/>
          </w:tcPr>
          <w:p>
            <w:pPr>
              <w:pStyle w:val="TableContents"/>
              <w:bidi w:val="0"/>
              <w:spacing w:lineRule="auto" w:line="276" w:before="0" w:after="0"/>
              <w:ind w:left="0" w:right="0" w:hanging="0"/>
              <w:jc w:val="left"/>
              <w:rPr/>
            </w:pPr>
            <w:r>
              <w:rPr/>
              <w:t> </w:t>
            </w:r>
          </w:p>
        </w:tc>
        <w:tc>
          <w:tcPr>
            <w:tcW w:w="99" w:type="dxa"/>
            <w:tcBorders/>
            <w:vAlign w:val="bottom"/>
          </w:tcPr>
          <w:p>
            <w:pPr>
              <w:pStyle w:val="TableContents"/>
              <w:bidi w:val="0"/>
              <w:spacing w:lineRule="auto" w:line="276" w:before="0" w:after="0"/>
              <w:ind w:left="0" w:right="0" w:hanging="0"/>
              <w:jc w:val="left"/>
              <w:rPr/>
            </w:pPr>
            <w:r>
              <w:rPr/>
              <w:t> </w:t>
            </w:r>
          </w:p>
        </w:tc>
        <w:tc>
          <w:tcPr>
            <w:tcW w:w="555" w:type="dxa"/>
            <w:tcBorders/>
            <w:vAlign w:val="bottom"/>
          </w:tcPr>
          <w:p>
            <w:pPr>
              <w:pStyle w:val="TableContents"/>
              <w:bidi w:val="0"/>
              <w:spacing w:lineRule="auto" w:line="276" w:before="0" w:after="0"/>
              <w:ind w:left="0" w:right="0" w:hanging="0"/>
              <w:jc w:val="left"/>
              <w:rPr/>
            </w:pPr>
            <w:r>
              <w:rPr/>
              <w:t> </w:t>
            </w:r>
          </w:p>
        </w:tc>
        <w:tc>
          <w:tcPr>
            <w:tcW w:w="77" w:type="dxa"/>
            <w:tcBorders/>
            <w:vAlign w:val="center"/>
          </w:tcPr>
          <w:p>
            <w:pPr>
              <w:pStyle w:val="TableContents"/>
              <w:bidi w:val="0"/>
              <w:spacing w:lineRule="auto" w:line="276" w:before="0" w:after="0"/>
              <w:ind w:left="0" w:right="0" w:hanging="0"/>
              <w:jc w:val="left"/>
              <w:rPr/>
            </w:pPr>
            <w:r>
              <w:rPr/>
              <w:t> </w:t>
            </w:r>
          </w:p>
        </w:tc>
        <w:tc>
          <w:tcPr>
            <w:tcW w:w="491" w:type="dxa"/>
            <w:tcBorders/>
            <w:vAlign w:val="bottom"/>
          </w:tcPr>
          <w:p>
            <w:pPr>
              <w:pStyle w:val="TableContents"/>
              <w:bidi w:val="0"/>
              <w:spacing w:lineRule="auto" w:line="276" w:before="0" w:after="0"/>
              <w:ind w:left="0" w:right="0" w:hanging="0"/>
              <w:jc w:val="left"/>
              <w:rPr/>
            </w:pPr>
            <w:r>
              <w:rPr/>
              <w:t> </w:t>
            </w:r>
          </w:p>
        </w:tc>
        <w:tc>
          <w:tcPr>
            <w:tcW w:w="167" w:type="dxa"/>
            <w:tcBorders/>
            <w:vAlign w:val="bottom"/>
          </w:tcPr>
          <w:p>
            <w:pPr>
              <w:pStyle w:val="TableContents"/>
              <w:bidi w:val="0"/>
              <w:spacing w:lineRule="auto" w:line="276" w:before="0" w:after="0"/>
              <w:ind w:left="0" w:right="0" w:hanging="0"/>
              <w:jc w:val="left"/>
              <w:rPr/>
            </w:pPr>
            <w:r>
              <w:rPr/>
              <w:t> </w:t>
            </w:r>
          </w:p>
        </w:tc>
        <w:tc>
          <w:tcPr>
            <w:tcW w:w="99" w:type="dxa"/>
            <w:tcBorders/>
            <w:vAlign w:val="bottom"/>
          </w:tcPr>
          <w:p>
            <w:pPr>
              <w:pStyle w:val="TableContents"/>
              <w:bidi w:val="0"/>
              <w:spacing w:lineRule="auto" w:line="276" w:before="0" w:after="0"/>
              <w:ind w:left="0" w:right="0" w:hanging="0"/>
              <w:jc w:val="left"/>
              <w:rPr/>
            </w:pPr>
            <w:r>
              <w:rPr/>
              <w:t> </w:t>
            </w:r>
          </w:p>
        </w:tc>
        <w:tc>
          <w:tcPr>
            <w:tcW w:w="725" w:type="dxa"/>
            <w:tcBorders/>
            <w:vAlign w:val="bottom"/>
          </w:tcPr>
          <w:p>
            <w:pPr>
              <w:pStyle w:val="TableContents"/>
              <w:bidi w:val="0"/>
              <w:spacing w:lineRule="auto" w:line="276" w:before="0" w:after="0"/>
              <w:ind w:left="0" w:right="0" w:hanging="0"/>
              <w:jc w:val="left"/>
              <w:rPr/>
            </w:pPr>
            <w:r>
              <w:rPr/>
              <w:t> </w:t>
            </w:r>
          </w:p>
        </w:tc>
        <w:tc>
          <w:tcPr>
            <w:tcW w:w="95" w:type="dxa"/>
            <w:tcBorders/>
            <w:vAlign w:val="bottom"/>
          </w:tcPr>
          <w:p>
            <w:pPr>
              <w:pStyle w:val="TableContents"/>
              <w:bidi w:val="0"/>
              <w:spacing w:lineRule="auto" w:line="276" w:before="0" w:after="0"/>
              <w:ind w:left="0" w:right="0" w:hanging="0"/>
              <w:jc w:val="left"/>
              <w:rPr/>
            </w:pPr>
            <w:r>
              <w:rPr/>
              <w:t> </w:t>
            </w:r>
          </w:p>
        </w:tc>
        <w:tc>
          <w:tcPr>
            <w:tcW w:w="530" w:type="dxa"/>
            <w:tcBorders/>
            <w:vAlign w:val="bottom"/>
          </w:tcPr>
          <w:p>
            <w:pPr>
              <w:pStyle w:val="TableContents"/>
              <w:bidi w:val="0"/>
              <w:spacing w:lineRule="auto" w:line="276" w:before="0" w:after="0"/>
              <w:ind w:left="0" w:right="0" w:hanging="0"/>
              <w:jc w:val="left"/>
              <w:rPr/>
            </w:pPr>
            <w:r>
              <w:rPr/>
              <w:t> </w:t>
            </w:r>
          </w:p>
        </w:tc>
        <w:tc>
          <w:tcPr>
            <w:tcW w:w="80" w:type="dxa"/>
            <w:tcBorders/>
            <w:vAlign w:val="center"/>
          </w:tcPr>
          <w:p>
            <w:pPr>
              <w:pStyle w:val="TableContents"/>
              <w:bidi w:val="0"/>
              <w:spacing w:lineRule="auto" w:line="276" w:before="0" w:after="0"/>
              <w:ind w:left="0" w:right="0" w:hanging="0"/>
              <w:jc w:val="left"/>
              <w:rPr/>
            </w:pPr>
            <w:r>
              <w:rPr/>
              <w:t> </w:t>
            </w:r>
          </w:p>
        </w:tc>
        <w:tc>
          <w:tcPr>
            <w:tcW w:w="512" w:type="dxa"/>
            <w:tcBorders/>
            <w:vAlign w:val="bottom"/>
          </w:tcPr>
          <w:p>
            <w:pPr>
              <w:pStyle w:val="TableContents"/>
              <w:bidi w:val="0"/>
              <w:spacing w:lineRule="auto" w:line="276" w:before="0" w:after="0"/>
              <w:ind w:left="0" w:right="0" w:hanging="0"/>
              <w:jc w:val="left"/>
              <w:rPr/>
            </w:pPr>
            <w:r>
              <w:rPr/>
              <w:t> </w:t>
            </w:r>
          </w:p>
        </w:tc>
        <w:tc>
          <w:tcPr>
            <w:tcW w:w="158" w:type="dxa"/>
            <w:tcBorders/>
            <w:vAlign w:val="bottom"/>
          </w:tcPr>
          <w:p>
            <w:pPr>
              <w:pStyle w:val="TableContents"/>
              <w:bidi w:val="0"/>
              <w:spacing w:lineRule="auto" w:line="276" w:before="0" w:after="0"/>
              <w:ind w:left="0" w:right="0" w:hanging="0"/>
              <w:jc w:val="left"/>
              <w:rPr/>
            </w:pPr>
            <w:r>
              <w:rPr/>
              <w:t> </w:t>
            </w:r>
          </w:p>
        </w:tc>
        <w:tc>
          <w:tcPr>
            <w:tcW w:w="95" w:type="dxa"/>
            <w:tcBorders/>
            <w:vAlign w:val="bottom"/>
          </w:tcPr>
          <w:p>
            <w:pPr>
              <w:pStyle w:val="TableContents"/>
              <w:bidi w:val="0"/>
              <w:spacing w:lineRule="auto" w:line="276" w:before="0" w:after="0"/>
              <w:ind w:left="0" w:right="0" w:hanging="0"/>
              <w:jc w:val="left"/>
              <w:rPr/>
            </w:pPr>
            <w:r>
              <w:rPr/>
              <w:t> </w:t>
            </w:r>
          </w:p>
        </w:tc>
        <w:tc>
          <w:tcPr>
            <w:tcW w:w="725" w:type="dxa"/>
            <w:tcBorders/>
            <w:vAlign w:val="bottom"/>
          </w:tcPr>
          <w:p>
            <w:pPr>
              <w:pStyle w:val="TableContents"/>
              <w:bidi w:val="0"/>
              <w:spacing w:lineRule="auto" w:line="276" w:before="0" w:after="0"/>
              <w:ind w:left="0" w:right="0" w:hanging="0"/>
              <w:jc w:val="left"/>
              <w:rPr/>
            </w:pPr>
            <w:r>
              <w:rPr/>
              <w:t> </w:t>
            </w:r>
          </w:p>
        </w:tc>
        <w:tc>
          <w:tcPr>
            <w:tcW w:w="95" w:type="dxa"/>
            <w:tcBorders/>
            <w:vAlign w:val="bottom"/>
          </w:tcPr>
          <w:p>
            <w:pPr>
              <w:pStyle w:val="TableContents"/>
              <w:bidi w:val="0"/>
              <w:spacing w:lineRule="auto" w:line="276" w:before="0" w:after="0"/>
              <w:ind w:left="0" w:right="0" w:hanging="0"/>
              <w:jc w:val="left"/>
              <w:rPr/>
            </w:pPr>
            <w:r>
              <w:rPr/>
              <w:t> </w:t>
            </w:r>
          </w:p>
        </w:tc>
        <w:tc>
          <w:tcPr>
            <w:tcW w:w="530" w:type="dxa"/>
            <w:tcBorders/>
            <w:vAlign w:val="bottom"/>
          </w:tcPr>
          <w:p>
            <w:pPr>
              <w:pStyle w:val="TableContents"/>
              <w:bidi w:val="0"/>
              <w:spacing w:lineRule="auto" w:line="276" w:before="0" w:after="0"/>
              <w:ind w:left="0" w:right="0" w:hanging="0"/>
              <w:jc w:val="left"/>
              <w:rPr/>
            </w:pPr>
            <w:r>
              <w:rPr/>
              <w:t> </w:t>
            </w:r>
          </w:p>
        </w:tc>
        <w:tc>
          <w:tcPr>
            <w:tcW w:w="80" w:type="dxa"/>
            <w:tcBorders/>
            <w:vAlign w:val="center"/>
          </w:tcPr>
          <w:p>
            <w:pPr>
              <w:pStyle w:val="TableContents"/>
              <w:bidi w:val="0"/>
              <w:spacing w:lineRule="auto" w:line="276" w:before="0" w:after="0"/>
              <w:ind w:left="0" w:right="0" w:hanging="0"/>
              <w:jc w:val="left"/>
              <w:rPr/>
            </w:pPr>
            <w:r>
              <w:rPr/>
              <w:t> </w:t>
            </w:r>
          </w:p>
        </w:tc>
        <w:tc>
          <w:tcPr>
            <w:tcW w:w="512" w:type="dxa"/>
            <w:tcBorders/>
            <w:vAlign w:val="bottom"/>
          </w:tcPr>
          <w:p>
            <w:pPr>
              <w:pStyle w:val="TableContents"/>
              <w:bidi w:val="0"/>
              <w:spacing w:lineRule="auto" w:line="276" w:before="0" w:after="0"/>
              <w:ind w:left="0" w:right="0" w:hanging="0"/>
              <w:jc w:val="left"/>
              <w:rPr/>
            </w:pPr>
            <w:r>
              <w:rPr/>
              <w:t> </w:t>
            </w:r>
          </w:p>
        </w:tc>
        <w:tc>
          <w:tcPr>
            <w:tcW w:w="181" w:type="dxa"/>
            <w:tcBorders/>
            <w:vAlign w:val="bottom"/>
          </w:tcPr>
          <w:p>
            <w:pPr>
              <w:pStyle w:val="TableContents"/>
              <w:bidi w:val="0"/>
              <w:spacing w:lineRule="auto" w:line="276" w:before="0" w:after="0"/>
              <w:ind w:left="0" w:right="0" w:hanging="0"/>
              <w:jc w:val="left"/>
              <w:rPr/>
            </w:pPr>
            <w:r>
              <w:rPr/>
              <w:t> </w:t>
            </w:r>
          </w:p>
        </w:tc>
      </w:tr>
      <w:tr>
        <w:trPr/>
        <w:tc>
          <w:tcPr>
            <w:tcW w:w="8765" w:type="dxa"/>
            <w:gridSpan w:val="22"/>
            <w:tcBorders/>
            <w:vAlign w:val="bottom"/>
          </w:tcPr>
          <w:p>
            <w:pPr>
              <w:pStyle w:val="TableContents"/>
              <w:bidi w:val="0"/>
              <w:spacing w:lineRule="auto" w:line="240" w:before="0" w:after="0"/>
              <w:ind w:left="0" w:right="0" w:hanging="0"/>
              <w:jc w:val="left"/>
              <w:rPr>
                <w:rFonts w:ascii="Arial" w:hAnsi="Arial"/>
                <w:b/>
                <w:color w:val="000000"/>
                <w:sz w:val="14"/>
              </w:rPr>
            </w:pPr>
            <w:r>
              <w:rPr>
                <w:rFonts w:ascii="Arial" w:hAnsi="Arial"/>
                <w:b/>
                <w:color w:val="000000"/>
                <w:sz w:val="14"/>
              </w:rPr>
              <w:t>NORWOOD FINANCIAL CORP</w:t>
            </w:r>
          </w:p>
        </w:tc>
      </w:tr>
      <w:tr>
        <w:trPr/>
        <w:tc>
          <w:tcPr>
            <w:tcW w:w="8765" w:type="dxa"/>
            <w:gridSpan w:val="22"/>
            <w:tcBorders/>
            <w:vAlign w:val="bottom"/>
          </w:tcPr>
          <w:p>
            <w:pPr>
              <w:pStyle w:val="TableContents"/>
              <w:bidi w:val="0"/>
              <w:spacing w:lineRule="auto" w:line="240" w:before="0" w:after="0"/>
              <w:ind w:left="0" w:right="0" w:hanging="0"/>
              <w:jc w:val="left"/>
              <w:rPr>
                <w:rFonts w:ascii="Arial" w:hAnsi="Arial"/>
                <w:b/>
                <w:color w:val="000000"/>
                <w:sz w:val="14"/>
              </w:rPr>
            </w:pPr>
            <w:r>
              <w:rPr>
                <w:rFonts w:ascii="Arial" w:hAnsi="Arial"/>
                <w:b/>
                <w:color w:val="000000"/>
                <w:sz w:val="14"/>
              </w:rPr>
              <w:t>NET INTEREST MARGIN ANALYSIS (unaudited)</w:t>
            </w:r>
          </w:p>
        </w:tc>
      </w:tr>
      <w:tr>
        <w:trPr/>
        <w:tc>
          <w:tcPr>
            <w:tcW w:w="8765" w:type="dxa"/>
            <w:gridSpan w:val="22"/>
            <w:tcBorders/>
            <w:vAlign w:val="bottom"/>
          </w:tcPr>
          <w:p>
            <w:pPr>
              <w:pStyle w:val="TableContents"/>
              <w:bidi w:val="0"/>
              <w:spacing w:lineRule="auto" w:line="240" w:before="0" w:after="0"/>
              <w:ind w:left="0" w:right="0" w:hanging="0"/>
              <w:jc w:val="left"/>
              <w:rPr>
                <w:rFonts w:ascii="Arial" w:hAnsi="Arial"/>
                <w:b/>
                <w:color w:val="000000"/>
                <w:sz w:val="14"/>
              </w:rPr>
            </w:pPr>
            <w:r>
              <w:rPr>
                <w:rFonts w:ascii="Arial" w:hAnsi="Arial"/>
                <w:b/>
                <w:color w:val="000000"/>
                <w:sz w:val="14"/>
              </w:rPr>
              <w:t>(dollars in thousands)</w:t>
            </w:r>
          </w:p>
        </w:tc>
      </w:tr>
      <w:tr>
        <w:trPr/>
        <w:tc>
          <w:tcPr>
            <w:tcW w:w="2101" w:type="dxa"/>
            <w:tcBorders/>
            <w:vAlign w:val="bottom"/>
          </w:tcPr>
          <w:p>
            <w:pPr>
              <w:pStyle w:val="TableContents"/>
              <w:bidi w:val="0"/>
              <w:spacing w:lineRule="auto" w:line="240" w:before="0" w:after="0"/>
              <w:ind w:left="0" w:right="0" w:hanging="0"/>
              <w:jc w:val="left"/>
              <w:rPr>
                <w:rFonts w:cs="Arial"/>
                <w:bCs/>
                <w:color w:val="000000"/>
                <w:szCs w:val="14"/>
              </w:rPr>
            </w:pPr>
            <w:r>
              <w:rPr>
                <w:rFonts w:cs="Arial"/>
                <w:bCs/>
                <w:color w:val="000000"/>
                <w:szCs w:val="14"/>
              </w:rPr>
              <w:t>﻿</w:t>
            </w:r>
          </w:p>
        </w:tc>
        <w:tc>
          <w:tcPr>
            <w:tcW w:w="6664" w:type="dxa"/>
            <w:gridSpan w:val="21"/>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For the Quarter Ended</w:t>
            </w:r>
          </w:p>
        </w:tc>
      </w:tr>
      <w:tr>
        <w:trPr/>
        <w:tc>
          <w:tcPr>
            <w:tcW w:w="2101" w:type="dxa"/>
            <w:tcBorders/>
            <w:vAlign w:val="bottom"/>
          </w:tcPr>
          <w:p>
            <w:pPr>
              <w:pStyle w:val="TableContents"/>
              <w:bidi w:val="0"/>
              <w:spacing w:lineRule="auto" w:line="240" w:before="0" w:after="0"/>
              <w:ind w:left="0" w:right="0" w:hanging="0"/>
              <w:jc w:val="left"/>
              <w:rPr>
                <w:rFonts w:cs="Arial"/>
                <w:color w:val="000000"/>
                <w:szCs w:val="14"/>
              </w:rPr>
            </w:pPr>
            <w:r>
              <w:rPr>
                <w:rFonts w:cs="Arial"/>
                <w:color w:val="000000"/>
                <w:szCs w:val="14"/>
              </w:rPr>
              <w:t>﻿</w:t>
            </w:r>
          </w:p>
        </w:tc>
        <w:tc>
          <w:tcPr>
            <w:tcW w:w="2247" w:type="dxa"/>
            <w:gridSpan w:val="7"/>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June 30, 2026</w:t>
            </w:r>
          </w:p>
        </w:tc>
        <w:tc>
          <w:tcPr>
            <w:tcW w:w="2199" w:type="dxa"/>
            <w:gridSpan w:val="7"/>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March 31, 2026</w:t>
            </w:r>
          </w:p>
        </w:tc>
        <w:tc>
          <w:tcPr>
            <w:tcW w:w="2218" w:type="dxa"/>
            <w:gridSpan w:val="7"/>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June 30, 2025</w:t>
            </w:r>
          </w:p>
        </w:tc>
      </w:tr>
      <w:tr>
        <w:trPr/>
        <w:tc>
          <w:tcPr>
            <w:tcW w:w="2101" w:type="dxa"/>
            <w:tcBorders/>
            <w:vAlign w:val="bottom"/>
          </w:tcPr>
          <w:p>
            <w:pPr>
              <w:pStyle w:val="TableContents"/>
              <w:bidi w:val="0"/>
              <w:spacing w:lineRule="auto" w:line="240" w:before="0" w:after="0"/>
              <w:ind w:left="0" w:right="0" w:hanging="0"/>
              <w:jc w:val="left"/>
              <w:rPr>
                <w:rFonts w:cs="Arial"/>
                <w:color w:val="000000"/>
                <w:szCs w:val="14"/>
              </w:rPr>
            </w:pPr>
            <w:r>
              <w:rPr>
                <w:rFonts w:cs="Arial"/>
                <w:color w:val="000000"/>
                <w:szCs w:val="14"/>
              </w:rPr>
              <w:t>﻿</w:t>
            </w:r>
          </w:p>
        </w:tc>
        <w:tc>
          <w:tcPr>
            <w:tcW w:w="858"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654" w:type="dxa"/>
            <w:gridSpan w:val="2"/>
            <w:tcBorders/>
            <w:vAlign w:val="bottom"/>
          </w:tcPr>
          <w:p>
            <w:pPr>
              <w:pStyle w:val="TableContents"/>
              <w:bidi w:val="0"/>
              <w:spacing w:lineRule="auto" w:line="240" w:before="0" w:after="0"/>
              <w:ind w:left="0" w:right="0" w:hanging="0"/>
              <w:jc w:val="left"/>
              <w:rPr/>
            </w:pPr>
            <w:r>
              <w:rPr/>
              <w:t> </w:t>
            </w:r>
          </w:p>
        </w:tc>
        <w:tc>
          <w:tcPr>
            <w:tcW w:w="568"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167" w:type="dxa"/>
            <w:tcBorders/>
            <w:vAlign w:val="bottom"/>
          </w:tcPr>
          <w:p>
            <w:pPr>
              <w:pStyle w:val="TableContents"/>
              <w:bidi w:val="0"/>
              <w:spacing w:lineRule="auto" w:line="240" w:before="0" w:after="0"/>
              <w:ind w:left="0" w:right="0" w:hanging="0"/>
              <w:jc w:val="left"/>
              <w:rPr/>
            </w:pPr>
            <w:r>
              <w:rPr/>
              <w:t> </w:t>
            </w:r>
          </w:p>
        </w:tc>
        <w:tc>
          <w:tcPr>
            <w:tcW w:w="824"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625" w:type="dxa"/>
            <w:gridSpan w:val="2"/>
            <w:tcBorders/>
            <w:vAlign w:val="bottom"/>
          </w:tcPr>
          <w:p>
            <w:pPr>
              <w:pStyle w:val="TableContents"/>
              <w:bidi w:val="0"/>
              <w:spacing w:lineRule="auto" w:line="240" w:before="0" w:after="0"/>
              <w:ind w:left="0" w:right="0" w:hanging="0"/>
              <w:jc w:val="left"/>
              <w:rPr/>
            </w:pPr>
            <w:r>
              <w:rPr/>
              <w:t> </w:t>
            </w:r>
          </w:p>
        </w:tc>
        <w:tc>
          <w:tcPr>
            <w:tcW w:w="592"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158" w:type="dxa"/>
            <w:tcBorders/>
            <w:vAlign w:val="bottom"/>
          </w:tcPr>
          <w:p>
            <w:pPr>
              <w:pStyle w:val="TableContents"/>
              <w:bidi w:val="0"/>
              <w:spacing w:lineRule="auto" w:line="240" w:before="0" w:after="0"/>
              <w:ind w:left="0" w:right="0" w:hanging="0"/>
              <w:jc w:val="left"/>
              <w:rPr/>
            </w:pPr>
            <w:r>
              <w:rPr/>
              <w:t> </w:t>
            </w:r>
          </w:p>
        </w:tc>
        <w:tc>
          <w:tcPr>
            <w:tcW w:w="820"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625" w:type="dxa"/>
            <w:gridSpan w:val="2"/>
            <w:tcBorders/>
            <w:vAlign w:val="bottom"/>
          </w:tcPr>
          <w:p>
            <w:pPr>
              <w:pStyle w:val="TableContents"/>
              <w:bidi w:val="0"/>
              <w:spacing w:lineRule="auto" w:line="240" w:before="0" w:after="0"/>
              <w:ind w:left="0" w:right="0" w:hanging="0"/>
              <w:jc w:val="left"/>
              <w:rPr/>
            </w:pPr>
            <w:r>
              <w:rPr/>
              <w:t> </w:t>
            </w:r>
          </w:p>
        </w:tc>
        <w:tc>
          <w:tcPr>
            <w:tcW w:w="592"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Average</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858"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Balance</w:t>
            </w:r>
          </w:p>
        </w:tc>
        <w:tc>
          <w:tcPr>
            <w:tcW w:w="654"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Interest</w:t>
            </w:r>
          </w:p>
        </w:tc>
        <w:tc>
          <w:tcPr>
            <w:tcW w:w="568" w:type="dxa"/>
            <w:gridSpan w:val="2"/>
            <w:tcBorders/>
            <w:vAlign w:val="bottom"/>
          </w:tcPr>
          <w:p>
            <w:pPr>
              <w:pStyle w:val="TableContents"/>
              <w:bidi w:val="0"/>
              <w:spacing w:lineRule="auto" w:line="240" w:before="0" w:after="0"/>
              <w:ind w:left="0" w:right="0" w:hanging="0"/>
              <w:jc w:val="center"/>
              <w:rPr>
                <w:color w:val="000000"/>
              </w:rPr>
            </w:pPr>
            <w:r>
              <w:rPr>
                <w:color w:val="000000"/>
              </w:rPr>
              <w:t>  </w:t>
            </w:r>
            <w:r>
              <w:rPr>
                <w:rFonts w:ascii="Arial" w:hAnsi="Arial"/>
                <w:color w:val="000000"/>
                <w:sz w:val="14"/>
              </w:rPr>
              <w:t xml:space="preserve">Rate   </w:t>
            </w:r>
          </w:p>
        </w:tc>
        <w:tc>
          <w:tcPr>
            <w:tcW w:w="167" w:type="dxa"/>
            <w:tcBorders/>
            <w:vAlign w:val="bottom"/>
          </w:tcPr>
          <w:p>
            <w:pPr>
              <w:pStyle w:val="TableContents"/>
              <w:bidi w:val="0"/>
              <w:spacing w:lineRule="auto" w:line="240" w:before="0" w:after="0"/>
              <w:ind w:left="0" w:right="0" w:hanging="0"/>
              <w:jc w:val="left"/>
              <w:rPr/>
            </w:pPr>
            <w:r>
              <w:rPr/>
              <w:t> </w:t>
            </w:r>
          </w:p>
        </w:tc>
        <w:tc>
          <w:tcPr>
            <w:tcW w:w="824"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Balance</w:t>
            </w:r>
          </w:p>
        </w:tc>
        <w:tc>
          <w:tcPr>
            <w:tcW w:w="625"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Interest</w:t>
            </w:r>
          </w:p>
        </w:tc>
        <w:tc>
          <w:tcPr>
            <w:tcW w:w="592" w:type="dxa"/>
            <w:gridSpan w:val="2"/>
            <w:tcBorders/>
            <w:vAlign w:val="bottom"/>
          </w:tcPr>
          <w:p>
            <w:pPr>
              <w:pStyle w:val="TableContents"/>
              <w:bidi w:val="0"/>
              <w:spacing w:lineRule="auto" w:line="240" w:before="0" w:after="0"/>
              <w:ind w:left="0" w:right="0" w:hanging="0"/>
              <w:jc w:val="center"/>
              <w:rPr>
                <w:color w:val="000000"/>
              </w:rPr>
            </w:pPr>
            <w:r>
              <w:rPr>
                <w:color w:val="000000"/>
              </w:rPr>
              <w:t>   </w:t>
            </w:r>
            <w:r>
              <w:rPr>
                <w:rFonts w:ascii="Arial" w:hAnsi="Arial"/>
                <w:color w:val="000000"/>
                <w:sz w:val="14"/>
              </w:rPr>
              <w:t xml:space="preserve">Rate   </w:t>
            </w:r>
          </w:p>
        </w:tc>
        <w:tc>
          <w:tcPr>
            <w:tcW w:w="158" w:type="dxa"/>
            <w:tcBorders/>
            <w:vAlign w:val="bottom"/>
          </w:tcPr>
          <w:p>
            <w:pPr>
              <w:pStyle w:val="TableContents"/>
              <w:bidi w:val="0"/>
              <w:spacing w:lineRule="auto" w:line="240" w:before="0" w:after="0"/>
              <w:ind w:left="0" w:right="0" w:hanging="0"/>
              <w:jc w:val="left"/>
              <w:rPr/>
            </w:pPr>
            <w:r>
              <w:rPr/>
              <w:t> </w:t>
            </w:r>
          </w:p>
        </w:tc>
        <w:tc>
          <w:tcPr>
            <w:tcW w:w="820"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Balance</w:t>
            </w:r>
          </w:p>
        </w:tc>
        <w:tc>
          <w:tcPr>
            <w:tcW w:w="625" w:type="dxa"/>
            <w:gridSpan w:val="2"/>
            <w:tcBorders/>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Interest</w:t>
            </w:r>
          </w:p>
        </w:tc>
        <w:tc>
          <w:tcPr>
            <w:tcW w:w="592" w:type="dxa"/>
            <w:gridSpan w:val="2"/>
            <w:tcBorders/>
            <w:vAlign w:val="bottom"/>
          </w:tcPr>
          <w:p>
            <w:pPr>
              <w:pStyle w:val="TableContents"/>
              <w:bidi w:val="0"/>
              <w:spacing w:lineRule="auto" w:line="240" w:before="0" w:after="0"/>
              <w:ind w:left="0" w:right="0" w:hanging="0"/>
              <w:jc w:val="center"/>
              <w:rPr>
                <w:color w:val="000000"/>
              </w:rPr>
            </w:pPr>
            <w:r>
              <w:rPr>
                <w:color w:val="000000"/>
              </w:rPr>
              <w:t>   </w:t>
            </w:r>
            <w:r>
              <w:rPr>
                <w:rFonts w:ascii="Arial" w:hAnsi="Arial"/>
                <w:color w:val="000000"/>
                <w:sz w:val="14"/>
              </w:rPr>
              <w:t xml:space="preserve">Rate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858"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(2)</w:t>
            </w:r>
          </w:p>
        </w:tc>
        <w:tc>
          <w:tcPr>
            <w:tcW w:w="654"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(1)</w:t>
            </w:r>
          </w:p>
        </w:tc>
        <w:tc>
          <w:tcPr>
            <w:tcW w:w="568"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(3)</w:t>
            </w:r>
          </w:p>
        </w:tc>
        <w:tc>
          <w:tcPr>
            <w:tcW w:w="167" w:type="dxa"/>
            <w:tcBorders/>
            <w:vAlign w:val="bottom"/>
          </w:tcPr>
          <w:p>
            <w:pPr>
              <w:pStyle w:val="TableContents"/>
              <w:bidi w:val="0"/>
              <w:spacing w:lineRule="auto" w:line="240" w:before="0" w:after="0"/>
              <w:ind w:left="0" w:right="0" w:hanging="0"/>
              <w:jc w:val="center"/>
              <w:rPr/>
            </w:pPr>
            <w:r>
              <w:rPr/>
              <w:t> </w:t>
            </w:r>
          </w:p>
        </w:tc>
        <w:tc>
          <w:tcPr>
            <w:tcW w:w="824"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(2)</w:t>
            </w:r>
          </w:p>
        </w:tc>
        <w:tc>
          <w:tcPr>
            <w:tcW w:w="62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(1)</w:t>
            </w:r>
          </w:p>
        </w:tc>
        <w:tc>
          <w:tcPr>
            <w:tcW w:w="592"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(3)</w:t>
            </w:r>
          </w:p>
        </w:tc>
        <w:tc>
          <w:tcPr>
            <w:tcW w:w="158" w:type="dxa"/>
            <w:tcBorders/>
            <w:vAlign w:val="bottom"/>
          </w:tcPr>
          <w:p>
            <w:pPr>
              <w:pStyle w:val="TableContents"/>
              <w:bidi w:val="0"/>
              <w:spacing w:lineRule="auto" w:line="240" w:before="0" w:after="0"/>
              <w:ind w:left="0" w:right="0" w:hanging="0"/>
              <w:jc w:val="left"/>
              <w:rPr/>
            </w:pPr>
            <w:r>
              <w:rPr/>
              <w:t> </w:t>
            </w:r>
          </w:p>
        </w:tc>
        <w:tc>
          <w:tcPr>
            <w:tcW w:w="82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(2)</w:t>
            </w:r>
          </w:p>
        </w:tc>
        <w:tc>
          <w:tcPr>
            <w:tcW w:w="62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(1)</w:t>
            </w:r>
          </w:p>
        </w:tc>
        <w:tc>
          <w:tcPr>
            <w:tcW w:w="592"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(3)</w:t>
            </w:r>
          </w:p>
        </w:tc>
        <w:tc>
          <w:tcPr>
            <w:tcW w:w="18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Assets</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lef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lef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lef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Interest-earning assets:</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lef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lef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lef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Fed funds sold</w:t>
            </w:r>
          </w:p>
        </w:tc>
        <w:tc>
          <w:tcPr>
            <w:tcW w:w="99"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59"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1,511 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14 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3.72  </w:t>
            </w:r>
          </w:p>
        </w:tc>
        <w:tc>
          <w:tcPr>
            <w:tcW w:w="167"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99"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933 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11 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4.78  </w:t>
            </w:r>
          </w:p>
        </w:tc>
        <w:tc>
          <w:tcPr>
            <w:tcW w:w="158"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95"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Interest-bearing deposits with banks</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43,467  </w:t>
            </w:r>
          </w:p>
        </w:tc>
        <w:tc>
          <w:tcPr>
            <w:tcW w:w="99"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5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364 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3.36 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72,896  </w:t>
            </w:r>
          </w:p>
        </w:tc>
        <w:tc>
          <w:tcPr>
            <w:tcW w:w="95"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389 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2.16  </w:t>
            </w:r>
          </w:p>
        </w:tc>
        <w:tc>
          <w:tcPr>
            <w:tcW w:w="158" w:type="dxa"/>
            <w:tcBorders/>
            <w:vAlign w:val="center"/>
          </w:tcPr>
          <w:p>
            <w:pPr>
              <w:pStyle w:val="TableContents"/>
              <w:bidi w:val="0"/>
              <w:spacing w:lineRule="auto" w:line="240" w:before="0" w:after="0"/>
              <w:ind w:left="0" w:right="0" w:hanging="0"/>
              <w:jc w:val="center"/>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19,085  </w:t>
            </w:r>
          </w:p>
        </w:tc>
        <w:tc>
          <w:tcPr>
            <w:tcW w:w="95"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220 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4.62  </w:t>
            </w:r>
          </w:p>
        </w:tc>
        <w:tc>
          <w:tcPr>
            <w:tcW w:w="181" w:type="dxa"/>
            <w:tcBorders/>
            <w:vAlign w:val="center"/>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Securities available for sale:</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lineRule="auto" w:line="240" w:before="0" w:after="0"/>
              <w:ind w:left="0" w:right="0" w:hanging="0"/>
              <w:jc w:val="righ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Taxable  </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435,004 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4,246 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3.92 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415,567 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3,859 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3.77 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404,428 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3,624 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3.59 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Tax-exempt (1)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44,269 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5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315 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2.85 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44,634 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318 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2.89 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44,158 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312 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2.83 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Total securities available for sale (1)</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479,273 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5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4,561 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3.82 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460,201 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4,177 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3.68 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448,586 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3,936 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3.52 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Loans receivable (1) (4) (5)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2,253,991 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5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35,700 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6.35 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2,195,033 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33,999 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6.28 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1,783,626 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27,249 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6.13 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Total interest-earning assets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2,778,242 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5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40,639 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5.87 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2,729,063 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38,576 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5.73 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2,251,297 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31,405 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5.60 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Non-interest earning assets:</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lineRule="auto" w:line="240" w:before="0" w:after="0"/>
              <w:ind w:left="0" w:right="0" w:hanging="0"/>
              <w:jc w:val="righ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Cash and due from banks </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30,147 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30,663 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30,323 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Allowance for credit losses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(24,556)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(23,391)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(20,733)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Other assets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129,320 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131,739 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94,922 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Total non-interest earning assets </w:t>
            </w:r>
          </w:p>
        </w:tc>
        <w:tc>
          <w:tcPr>
            <w:tcW w:w="99"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134,911 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139,011 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104,512 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right w:val="single" w:sz="8" w:space="0" w:color="000000"/>
            </w:tcBorders>
            <w:tcMar>
              <w:right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Total Assets </w:t>
            </w:r>
          </w:p>
        </w:tc>
        <w:tc>
          <w:tcPr>
            <w:tcW w:w="99" w:type="dxa"/>
            <w:tcBorders>
              <w:top w:val="single" w:sz="8" w:space="0" w:color="000000"/>
              <w:left w:val="single" w:sz="8" w:space="0" w:color="000000"/>
              <w:bottom w:val="double" w:sz="5" w:space="0" w:color="000000"/>
            </w:tcBorders>
            <w:tcMar>
              <w:top w:w="28" w:type="dxa"/>
              <w:left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59"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2,913,153 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2,868,074 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2,355,809 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Liabilities and Stockholders' Equity</w:t>
            </w:r>
          </w:p>
        </w:tc>
        <w:tc>
          <w:tcPr>
            <w:tcW w:w="99"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Interest-bearing liabilities:</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Interest-bearing demand and money market </w:t>
            </w:r>
          </w:p>
        </w:tc>
        <w:tc>
          <w:tcPr>
            <w:tcW w:w="99"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59"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727,580  </w:t>
            </w:r>
          </w:p>
        </w:tc>
        <w:tc>
          <w:tcPr>
            <w:tcW w:w="99"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5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3,460 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1.91 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723,966  </w:t>
            </w:r>
          </w:p>
        </w:tc>
        <w:tc>
          <w:tcPr>
            <w:tcW w:w="95"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3,462 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1.94 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573,904  </w:t>
            </w:r>
          </w:p>
        </w:tc>
        <w:tc>
          <w:tcPr>
            <w:tcW w:w="95"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2,887 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2.02 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Savings  </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231,852 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200 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0.35 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218,829 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137 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0.25 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204,318 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119 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0.23 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Time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1,071,210 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5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9,239 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3.46 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1,040,656 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9,188 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3.58 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821,725 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7,863 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3.84 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Total interest-bearing deposits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2,030,642 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5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12,899 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2.55 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1,983,451 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12,787 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2.61 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1,599,947  </w:t>
            </w:r>
          </w:p>
        </w:tc>
        <w:tc>
          <w:tcPr>
            <w:tcW w:w="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10,869 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2.72 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Short-term borrowings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3,233 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32 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3.97 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6,358 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60 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3.83 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17,757 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211 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4.77 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Other borrowings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67,802 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55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687 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4.06 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95,152 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982 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4.19 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95,792 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1,061 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4.44 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Total interest-bearing liabilities </w:t>
            </w:r>
          </w:p>
        </w:tc>
        <w:tc>
          <w:tcPr>
            <w:tcW w:w="99"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2,101,677  </w:t>
            </w:r>
          </w:p>
        </w:tc>
        <w:tc>
          <w:tcPr>
            <w:tcW w:w="99"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5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13,618 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2.60 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2,084,961  </w:t>
            </w:r>
          </w:p>
        </w:tc>
        <w:tc>
          <w:tcPr>
            <w:tcW w:w="9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13,829 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2.69 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1,713,496  </w:t>
            </w:r>
          </w:p>
        </w:tc>
        <w:tc>
          <w:tcPr>
            <w:tcW w:w="9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12,141 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2.84 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Non-interest bearing liabilities:</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Demand deposits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486,557 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458,126 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389,323 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Other liabilities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36,585 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35,188 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29,639 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Total non-interest bearing liabilities </w:t>
            </w:r>
          </w:p>
        </w:tc>
        <w:tc>
          <w:tcPr>
            <w:tcW w:w="99"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523,142 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493,314 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418,962 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4"/>
              </w:rPr>
              <w:t xml:space="preserve">Stockholders' equity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59"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288,334 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289,799 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223,351 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Total Liabilities and Stockholders' Equity </w:t>
            </w:r>
          </w:p>
        </w:tc>
        <w:tc>
          <w:tcPr>
            <w:tcW w:w="99"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59"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2,913,153 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555" w:type="dxa"/>
            <w:tcBorders/>
            <w:shd w:fill="CCEEFF" w:val="cle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2,868,074 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725"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2,355,809 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530" w:type="dxa"/>
            <w:tcBorders/>
            <w:shd w:fill="CCEEFF" w:val="cle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81" w:type="dxa"/>
            <w:tcBorders/>
            <w:shd w:fill="CCEEFF" w:val="cle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Net interest income/spread (tax equivalent basis) </w:t>
            </w:r>
          </w:p>
        </w:tc>
        <w:tc>
          <w:tcPr>
            <w:tcW w:w="9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9"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27,021 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3.27  </w:t>
            </w:r>
          </w:p>
        </w:tc>
        <w:tc>
          <w:tcPr>
            <w:tcW w:w="167"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 </w:t>
            </w:r>
          </w:p>
        </w:tc>
        <w:tc>
          <w:tcPr>
            <w:tcW w:w="99"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24,747 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3.04  </w:t>
            </w:r>
          </w:p>
        </w:tc>
        <w:tc>
          <w:tcPr>
            <w:tcW w:w="158" w:type="dxa"/>
            <w:tcBorders/>
            <w:vAlign w:val="center"/>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 xml:space="preserve">% </w:t>
            </w:r>
          </w:p>
        </w:tc>
        <w:tc>
          <w:tcPr>
            <w:tcW w:w="9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19,264 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bottom w:val="double" w:sz="5" w:space="0" w:color="000000"/>
            </w:tcBorders>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2.75  </w:t>
            </w:r>
          </w:p>
        </w:tc>
        <w:tc>
          <w:tcPr>
            <w:tcW w:w="181" w:type="dxa"/>
            <w:tcBorders>
              <w:bottom w:val="double" w:sz="5" w:space="0" w:color="000000"/>
            </w:tcBorders>
            <w:tcMar>
              <w:bottom w:w="28" w:type="dxa"/>
            </w:tcMar>
            <w:vAlign w:val="center"/>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 xml:space="preserve">% </w:t>
            </w:r>
          </w:p>
        </w:tc>
      </w:tr>
      <w:tr>
        <w:trPr/>
        <w:tc>
          <w:tcPr>
            <w:tcW w:w="210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Tax-equivalent basis adjustment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lineRule="auto" w:line="240" w:before="0" w:after="0"/>
              <w:ind w:left="0" w:right="0" w:hanging="0"/>
              <w:jc w:val="right"/>
              <w:rPr/>
            </w:pPr>
            <w:r>
              <w:rPr/>
              <w:t> </w:t>
            </w:r>
          </w:p>
        </w:tc>
        <w:tc>
          <w:tcPr>
            <w:tcW w:w="99"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5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(182)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lineRule="auto" w:line="240" w:before="0" w:after="0"/>
              <w:ind w:left="0" w:right="0" w:hanging="0"/>
              <w:jc w:val="right"/>
              <w:rPr/>
            </w:pPr>
            <w:r>
              <w:rPr/>
              <w:t> </w:t>
            </w:r>
          </w:p>
        </w:tc>
        <w:tc>
          <w:tcPr>
            <w:tcW w:w="167" w:type="dxa"/>
            <w:tcBorders/>
            <w:shd w:fill="CCEEFF" w:val="clear"/>
            <w:vAlign w:val="bottom"/>
          </w:tcPr>
          <w:p>
            <w:pPr>
              <w:pStyle w:val="TableContents"/>
              <w:bidi w:val="0"/>
              <w:spacing w:lineRule="auto" w:line="240" w:before="0" w:after="0"/>
              <w:ind w:left="0" w:right="0" w:hanging="0"/>
              <w:jc w:val="left"/>
              <w:rPr/>
            </w:pPr>
            <w:r>
              <w:rPr/>
              <w:t>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(193)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lineRule="auto" w:line="240" w:before="0" w:after="0"/>
              <w:ind w:left="0" w:right="0" w:hanging="0"/>
              <w:jc w:val="right"/>
              <w:rPr/>
            </w:pPr>
            <w:r>
              <w:rPr/>
              <w:t> </w:t>
            </w:r>
          </w:p>
        </w:tc>
        <w:tc>
          <w:tcPr>
            <w:tcW w:w="158" w:type="dxa"/>
            <w:tcBorders/>
            <w:shd w:fill="CCEEFF" w:val="clear"/>
            <w:vAlign w:val="bottom"/>
          </w:tcPr>
          <w:p>
            <w:pPr>
              <w:pStyle w:val="TableContents"/>
              <w:bidi w:val="0"/>
              <w:spacing w:lineRule="auto" w:line="240" w:before="0" w:after="0"/>
              <w:ind w:left="0" w:right="0" w:hanging="0"/>
              <w:jc w:val="left"/>
              <w:rPr/>
            </w:pPr>
            <w:r>
              <w:rPr/>
              <w:t>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5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(199)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181"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Net interest income </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5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26,839  </w:t>
            </w:r>
          </w:p>
        </w:tc>
        <w:tc>
          <w:tcPr>
            <w:tcW w:w="77" w:type="dxa"/>
            <w:tcBorders/>
            <w:vAlign w:val="center"/>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24,554 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w:t>
            </w:r>
          </w:p>
        </w:tc>
        <w:tc>
          <w:tcPr>
            <w:tcW w:w="53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19,065  </w:t>
            </w:r>
          </w:p>
        </w:tc>
        <w:tc>
          <w:tcPr>
            <w:tcW w:w="80" w:type="dxa"/>
            <w:tcBorders/>
            <w:vAlign w:val="center"/>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Net interest margin (tax equivalent basis)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59" w:type="dxa"/>
            <w:tcBorders/>
            <w:shd w:fill="CCEEFF" w:val="clear"/>
            <w:vAlign w:val="bottom"/>
          </w:tcPr>
          <w:p>
            <w:pPr>
              <w:pStyle w:val="TableContents"/>
              <w:bidi w:val="0"/>
              <w:spacing w:lineRule="auto" w:line="240" w:before="0" w:after="0"/>
              <w:ind w:left="0" w:right="0" w:hanging="0"/>
              <w:jc w:val="right"/>
              <w:rPr/>
            </w:pPr>
            <w:r>
              <w:rPr/>
              <w:t> </w:t>
            </w:r>
          </w:p>
        </w:tc>
        <w:tc>
          <w:tcPr>
            <w:tcW w:w="99"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5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77" w:type="dxa"/>
            <w:tcBorders/>
            <w:shd w:fill="CCEEFF" w:val="clear"/>
            <w:vAlign w:val="center"/>
          </w:tcPr>
          <w:p>
            <w:pPr>
              <w:pStyle w:val="TableContents"/>
              <w:bidi w:val="0"/>
              <w:spacing w:lineRule="auto" w:line="240" w:before="0" w:after="0"/>
              <w:ind w:left="0" w:right="0" w:hanging="0"/>
              <w:jc w:val="left"/>
              <w:rPr/>
            </w:pPr>
            <w:r>
              <w:rPr/>
              <w:t> </w:t>
            </w:r>
          </w:p>
        </w:tc>
        <w:tc>
          <w:tcPr>
            <w:tcW w:w="491"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3.90  </w:t>
            </w:r>
          </w:p>
        </w:tc>
        <w:tc>
          <w:tcPr>
            <w:tcW w:w="167" w:type="dxa"/>
            <w:tcBorders/>
            <w:shd w:fill="CCEEFF" w:val="clear"/>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 xml:space="preserve">% </w:t>
            </w:r>
          </w:p>
        </w:tc>
        <w:tc>
          <w:tcPr>
            <w:tcW w:w="99"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shd w:fill="CCEEFF" w:val="cle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3.68  </w:t>
            </w:r>
          </w:p>
        </w:tc>
        <w:tc>
          <w:tcPr>
            <w:tcW w:w="158" w:type="dxa"/>
            <w:tcBorders/>
            <w:shd w:fill="CCEEFF" w:val="clear"/>
            <w:vAlign w:val="center"/>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 xml:space="preserve">% </w:t>
            </w:r>
          </w:p>
        </w:tc>
        <w:tc>
          <w:tcPr>
            <w:tcW w:w="95"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bottom"/>
          </w:tcPr>
          <w:p>
            <w:pPr>
              <w:pStyle w:val="TableContents"/>
              <w:bidi w:val="0"/>
              <w:spacing w:lineRule="auto" w:line="240" w:before="0" w:after="0"/>
              <w:ind w:left="0" w:right="0" w:hanging="0"/>
              <w:jc w:val="right"/>
              <w:rPr/>
            </w:pPr>
            <w:r>
              <w:rPr/>
              <w:t> </w:t>
            </w:r>
          </w:p>
        </w:tc>
        <w:tc>
          <w:tcPr>
            <w:tcW w:w="9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530"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80" w:type="dxa"/>
            <w:tcBorders/>
            <w:shd w:fill="CCEEFF" w:val="clear"/>
            <w:vAlign w:val="center"/>
          </w:tcPr>
          <w:p>
            <w:pPr>
              <w:pStyle w:val="TableContents"/>
              <w:bidi w:val="0"/>
              <w:spacing w:lineRule="auto" w:line="240" w:before="0" w:after="0"/>
              <w:ind w:left="0" w:right="0" w:hanging="0"/>
              <w:jc w:val="left"/>
              <w:rPr/>
            </w:pPr>
            <w:r>
              <w:rPr/>
              <w:t> </w:t>
            </w:r>
          </w:p>
        </w:tc>
        <w:tc>
          <w:tcPr>
            <w:tcW w:w="512"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color w:val="000000"/>
                <w:sz w:val="14"/>
              </w:rPr>
            </w:pPr>
            <w:r>
              <w:rPr>
                <w:rFonts w:ascii="Arial" w:hAnsi="Arial"/>
                <w:color w:val="000000"/>
                <w:sz w:val="14"/>
              </w:rPr>
              <w:t xml:space="preserve">3.43  </w:t>
            </w:r>
          </w:p>
        </w:tc>
        <w:tc>
          <w:tcPr>
            <w:tcW w:w="181" w:type="dxa"/>
            <w:tcBorders>
              <w:bottom w:val="double" w:sz="5" w:space="0" w:color="000000"/>
            </w:tcBorders>
            <w:shd w:fill="CCEEFF" w:val="clear"/>
            <w:tcMar>
              <w:bottom w:w="28" w:type="dxa"/>
            </w:tcMar>
            <w:vAlign w:val="center"/>
          </w:tcPr>
          <w:p>
            <w:pPr>
              <w:pStyle w:val="TableContents"/>
              <w:bidi w:val="0"/>
              <w:spacing w:lineRule="auto" w:line="240" w:before="0" w:after="0"/>
              <w:ind w:left="0" w:right="0" w:hanging="0"/>
              <w:jc w:val="center"/>
              <w:rPr>
                <w:rFonts w:ascii="Arial" w:hAnsi="Arial"/>
                <w:color w:val="000000"/>
                <w:sz w:val="14"/>
              </w:rPr>
            </w:pPr>
            <w:r>
              <w:rPr>
                <w:rFonts w:ascii="Arial" w:hAnsi="Arial"/>
                <w:color w:val="000000"/>
                <w:sz w:val="14"/>
              </w:rPr>
              <w:t xml:space="preserve">% </w:t>
            </w:r>
          </w:p>
        </w:tc>
      </w:tr>
      <w:tr>
        <w:trPr/>
        <w:tc>
          <w:tcPr>
            <w:tcW w:w="2101" w:type="dxa"/>
            <w:tcBorders/>
            <w:vAlign w:val="bottom"/>
          </w:tcPr>
          <w:p>
            <w:pPr>
              <w:pStyle w:val="TableContents"/>
              <w:bidi w:val="0"/>
              <w:spacing w:lineRule="auto" w:line="240" w:before="0" w:after="0"/>
              <w:ind w:left="0" w:right="0" w:hanging="0"/>
              <w:jc w:val="left"/>
              <w:rPr>
                <w:rFonts w:cs="Arial"/>
                <w:color w:val="000000"/>
                <w:szCs w:val="14"/>
              </w:rPr>
            </w:pPr>
            <w:r>
              <w:rPr>
                <w:rFonts w:cs="Arial"/>
                <w:color w:val="000000"/>
                <w:szCs w:val="14"/>
              </w:rPr>
              <w:t>﻿</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8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righ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right"/>
              <w:rPr/>
            </w:pPr>
            <w:r>
              <w:rPr/>
              <w:t> </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4447" w:type="dxa"/>
            <w:gridSpan w:val="9"/>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(1)  Interest and yields are presented on a tax-equivalent basis using a marginal tax rate of 21%.</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3058" w:type="dxa"/>
            <w:gridSpan w:val="4"/>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(2)  Average balances have been calculated based on daily balances.</w:t>
            </w:r>
          </w:p>
        </w:tc>
        <w:tc>
          <w:tcPr>
            <w:tcW w:w="555" w:type="dxa"/>
            <w:tcBorders/>
            <w:vAlign w:val="bottom"/>
          </w:tcPr>
          <w:p>
            <w:pPr>
              <w:pStyle w:val="TableContents"/>
              <w:bidi w:val="0"/>
              <w:spacing w:lineRule="auto" w:line="240" w:before="0" w:after="0"/>
              <w:ind w:left="0" w:right="0" w:hanging="0"/>
              <w:jc w:val="left"/>
              <w:rPr/>
            </w:pPr>
            <w:r>
              <w:rPr/>
              <w:t> </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2101" w:type="dxa"/>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(3)  Annualized</w:t>
            </w:r>
          </w:p>
        </w:tc>
        <w:tc>
          <w:tcPr>
            <w:tcW w:w="99" w:type="dxa"/>
            <w:tcBorders/>
            <w:vAlign w:val="bottom"/>
          </w:tcPr>
          <w:p>
            <w:pPr>
              <w:pStyle w:val="TableContents"/>
              <w:bidi w:val="0"/>
              <w:spacing w:lineRule="auto" w:line="240" w:before="0" w:after="0"/>
              <w:ind w:left="0" w:right="0" w:hanging="0"/>
              <w:jc w:val="left"/>
              <w:rPr/>
            </w:pPr>
            <w:r>
              <w:rPr/>
              <w:t> </w:t>
            </w:r>
          </w:p>
        </w:tc>
        <w:tc>
          <w:tcPr>
            <w:tcW w:w="759"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555" w:type="dxa"/>
            <w:tcBorders/>
            <w:vAlign w:val="bottom"/>
          </w:tcPr>
          <w:p>
            <w:pPr>
              <w:pStyle w:val="TableContents"/>
              <w:bidi w:val="0"/>
              <w:spacing w:lineRule="auto" w:line="240" w:before="0" w:after="0"/>
              <w:ind w:left="0" w:right="0" w:hanging="0"/>
              <w:jc w:val="left"/>
              <w:rPr/>
            </w:pPr>
            <w:r>
              <w:rPr/>
              <w:t> </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3613" w:type="dxa"/>
            <w:gridSpan w:val="5"/>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(4)  Loan balances include non-accrual loans and are net of unearned income.</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r>
        <w:trPr/>
        <w:tc>
          <w:tcPr>
            <w:tcW w:w="3613" w:type="dxa"/>
            <w:gridSpan w:val="5"/>
            <w:tcBorders/>
            <w:vAlign w:val="bottom"/>
          </w:tcPr>
          <w:p>
            <w:pPr>
              <w:pStyle w:val="TableContents"/>
              <w:bidi w:val="0"/>
              <w:spacing w:lineRule="auto" w:line="240" w:before="0" w:after="0"/>
              <w:ind w:left="0" w:right="0" w:hanging="0"/>
              <w:jc w:val="left"/>
              <w:rPr>
                <w:rFonts w:ascii="Arial" w:hAnsi="Arial"/>
                <w:color w:val="000000"/>
                <w:sz w:val="14"/>
              </w:rPr>
            </w:pPr>
            <w:r>
              <w:rPr>
                <w:rFonts w:ascii="Arial" w:hAnsi="Arial"/>
                <w:color w:val="000000"/>
                <w:sz w:val="14"/>
              </w:rPr>
              <w:t>(5)  Loan yields include the effect of amortization of deferred fees, net of costs.</w:t>
            </w:r>
          </w:p>
        </w:tc>
        <w:tc>
          <w:tcPr>
            <w:tcW w:w="77" w:type="dxa"/>
            <w:tcBorders/>
            <w:vAlign w:val="bottom"/>
          </w:tcPr>
          <w:p>
            <w:pPr>
              <w:pStyle w:val="TableContents"/>
              <w:bidi w:val="0"/>
              <w:spacing w:lineRule="auto" w:line="240" w:before="0" w:after="0"/>
              <w:ind w:left="0" w:right="0" w:hanging="0"/>
              <w:jc w:val="left"/>
              <w:rPr/>
            </w:pPr>
            <w:r>
              <w:rPr/>
              <w:t> </w:t>
            </w:r>
          </w:p>
        </w:tc>
        <w:tc>
          <w:tcPr>
            <w:tcW w:w="491" w:type="dxa"/>
            <w:tcBorders/>
            <w:vAlign w:val="bottom"/>
          </w:tcPr>
          <w:p>
            <w:pPr>
              <w:pStyle w:val="TableContents"/>
              <w:bidi w:val="0"/>
              <w:spacing w:lineRule="auto" w:line="240" w:before="0" w:after="0"/>
              <w:ind w:left="0" w:right="0" w:hanging="0"/>
              <w:jc w:val="righ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99"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right"/>
              <w:rPr/>
            </w:pPr>
            <w:r>
              <w:rPr/>
              <w:t> </w:t>
            </w:r>
          </w:p>
        </w:tc>
        <w:tc>
          <w:tcPr>
            <w:tcW w:w="158" w:type="dxa"/>
            <w:tcBorders/>
            <w:vAlign w:val="bottom"/>
          </w:tcPr>
          <w:p>
            <w:pPr>
              <w:pStyle w:val="TableContents"/>
              <w:bidi w:val="0"/>
              <w:spacing w:lineRule="auto" w:line="240" w:before="0" w:after="0"/>
              <w:ind w:left="0" w:right="0" w:hanging="0"/>
              <w:jc w:val="lef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right"/>
              <w:rPr/>
            </w:pPr>
            <w:r>
              <w:rPr/>
              <w:t> </w:t>
            </w:r>
          </w:p>
        </w:tc>
        <w:tc>
          <w:tcPr>
            <w:tcW w:w="95" w:type="dxa"/>
            <w:tcBorders/>
            <w:vAlign w:val="bottom"/>
          </w:tcPr>
          <w:p>
            <w:pPr>
              <w:pStyle w:val="TableContents"/>
              <w:bidi w:val="0"/>
              <w:spacing w:lineRule="auto" w:line="240" w:before="0" w:after="0"/>
              <w:ind w:left="0" w:right="0" w:hanging="0"/>
              <w:jc w:val="left"/>
              <w:rPr/>
            </w:pPr>
            <w:r>
              <w:rPr/>
              <w:t> </w:t>
            </w:r>
          </w:p>
        </w:tc>
        <w:tc>
          <w:tcPr>
            <w:tcW w:w="530" w:type="dxa"/>
            <w:tcBorders/>
            <w:vAlign w:val="bottom"/>
          </w:tcPr>
          <w:p>
            <w:pPr>
              <w:pStyle w:val="TableContents"/>
              <w:bidi w:val="0"/>
              <w:spacing w:lineRule="auto" w:line="240" w:before="0" w:after="0"/>
              <w:ind w:left="0" w:right="0" w:hanging="0"/>
              <w:jc w:val="right"/>
              <w:rPr/>
            </w:pPr>
            <w:r>
              <w:rPr/>
              <w:t> </w:t>
            </w:r>
          </w:p>
        </w:tc>
        <w:tc>
          <w:tcPr>
            <w:tcW w:w="80" w:type="dxa"/>
            <w:tcBorders/>
            <w:vAlign w:val="bottom"/>
          </w:tcPr>
          <w:p>
            <w:pPr>
              <w:pStyle w:val="TableContents"/>
              <w:bidi w:val="0"/>
              <w:spacing w:lineRule="auto" w:line="240" w:before="0" w:after="0"/>
              <w:ind w:left="0" w:right="0" w:hanging="0"/>
              <w:jc w:val="left"/>
              <w:rPr/>
            </w:pPr>
            <w:r>
              <w:rPr/>
              <w:t> </w:t>
            </w:r>
          </w:p>
        </w:tc>
        <w:tc>
          <w:tcPr>
            <w:tcW w:w="512" w:type="dxa"/>
            <w:tcBorders/>
            <w:vAlign w:val="bottom"/>
          </w:tcPr>
          <w:p>
            <w:pPr>
              <w:pStyle w:val="TableContents"/>
              <w:bidi w:val="0"/>
              <w:spacing w:lineRule="auto" w:line="240" w:before="0" w:after="0"/>
              <w:ind w:left="0" w:right="0" w:hanging="0"/>
              <w:jc w:val="left"/>
              <w:rPr/>
            </w:pPr>
            <w:r>
              <w:rPr/>
              <w:t> </w:t>
            </w:r>
          </w:p>
        </w:tc>
        <w:tc>
          <w:tcPr>
            <w:tcW w:w="181"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tbl>
      <w:tblPr>
        <w:tblW w:w="893" w:type="dxa"/>
        <w:jc w:val="left"/>
        <w:tblInd w:w="720" w:type="dxa"/>
        <w:tblLayout w:type="fixed"/>
        <w:tblCellMar>
          <w:top w:w="0" w:type="dxa"/>
          <w:left w:w="0" w:type="dxa"/>
          <w:bottom w:w="0" w:type="dxa"/>
          <w:right w:w="0" w:type="dxa"/>
        </w:tblCellMar>
      </w:tblPr>
      <w:tblGrid>
        <w:gridCol w:w="38"/>
        <w:gridCol w:w="60"/>
        <w:gridCol w:w="60"/>
        <w:gridCol w:w="60"/>
        <w:gridCol w:w="60"/>
        <w:gridCol w:w="60"/>
        <w:gridCol w:w="60"/>
        <w:gridCol w:w="60"/>
        <w:gridCol w:w="60"/>
        <w:gridCol w:w="60"/>
        <w:gridCol w:w="60"/>
        <w:gridCol w:w="60"/>
        <w:gridCol w:w="60"/>
        <w:gridCol w:w="60"/>
        <w:gridCol w:w="75"/>
      </w:tblGrid>
      <w:tr>
        <w:trPr/>
        <w:tc>
          <w:tcPr>
            <w:tcW w:w="38" w:type="dxa"/>
            <w:tcBorders/>
            <w:vAlign w:val="bottom"/>
          </w:tcPr>
          <w:p>
            <w:pPr>
              <w:pStyle w:val="TableContents"/>
              <w:bidi w:val="0"/>
              <w:spacing w:lineRule="auto" w:line="276" w:before="0" w:after="0"/>
              <w:ind w:left="0" w:right="0" w:hanging="0"/>
              <w:jc w:val="left"/>
              <w:rPr>
                <w:rFonts w:cs="Arial"/>
                <w:szCs w:val="16"/>
              </w:rPr>
            </w:pPr>
            <w:r>
              <w:rPr>
                <w:rFonts w:cs="Arial"/>
                <w:szCs w:val="16"/>
              </w:rPr>
              <w:t>﻿</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60" w:type="dxa"/>
            <w:tcBorders/>
            <w:vAlign w:val="bottom"/>
          </w:tcPr>
          <w:p>
            <w:pPr>
              <w:pStyle w:val="TableContents"/>
              <w:bidi w:val="0"/>
              <w:spacing w:lineRule="auto" w:line="276" w:before="0" w:after="0"/>
              <w:ind w:left="0" w:right="0" w:hanging="0"/>
              <w:jc w:val="left"/>
              <w:rPr/>
            </w:pPr>
            <w:r>
              <w:rPr/>
              <w:t> </w:t>
            </w:r>
          </w:p>
        </w:tc>
        <w:tc>
          <w:tcPr>
            <w:tcW w:w="75" w:type="dxa"/>
            <w:tcBorders/>
            <w:vAlign w:val="bottom"/>
          </w:tcPr>
          <w:p>
            <w:pPr>
              <w:pStyle w:val="TableContents"/>
              <w:bidi w:val="0"/>
              <w:spacing w:lineRule="auto" w:line="276" w:before="0" w:after="0"/>
              <w:ind w:left="0" w:right="0" w:hanging="0"/>
              <w:jc w:val="left"/>
              <w:rPr/>
            </w:pPr>
            <w:r>
              <w:rPr/>
              <w:t> </w:t>
            </w:r>
          </w:p>
        </w:tc>
      </w:tr>
    </w:tbl>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443"/>
        <w:gridCol w:w="121"/>
        <w:gridCol w:w="917"/>
        <w:gridCol w:w="121"/>
        <w:gridCol w:w="668"/>
        <w:gridCol w:w="90"/>
        <w:gridCol w:w="643"/>
        <w:gridCol w:w="201"/>
        <w:gridCol w:w="110"/>
        <w:gridCol w:w="830"/>
        <w:gridCol w:w="110"/>
        <w:gridCol w:w="605"/>
        <w:gridCol w:w="84"/>
        <w:gridCol w:w="601"/>
        <w:gridCol w:w="221"/>
      </w:tblGrid>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NORWOOD FINANCIAL CORP</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NET INTEREST MARGIN ANALYSIS (unaudited)</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(dollars in thousands)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cs="Arial"/>
                <w:szCs w:val="16"/>
              </w:rPr>
            </w:pPr>
            <w:r>
              <w:rPr>
                <w:rFonts w:cs="Arial"/>
                <w:szCs w:val="16"/>
              </w:rPr>
              <w:t>﻿</w:t>
            </w:r>
          </w:p>
        </w:tc>
        <w:tc>
          <w:tcPr>
            <w:tcW w:w="5322" w:type="dxa"/>
            <w:gridSpan w:val="14"/>
            <w:tcBorders/>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Year to Date</w:t>
            </w:r>
          </w:p>
        </w:tc>
      </w:tr>
      <w:tr>
        <w:trPr/>
        <w:tc>
          <w:tcPr>
            <w:tcW w:w="3443" w:type="dxa"/>
            <w:tcBorders/>
            <w:vAlign w:val="bottom"/>
          </w:tcPr>
          <w:p>
            <w:pPr>
              <w:pStyle w:val="TableContents"/>
              <w:bidi w:val="0"/>
              <w:spacing w:lineRule="auto" w:line="240" w:before="0" w:after="0"/>
              <w:ind w:left="0" w:right="0" w:hanging="0"/>
              <w:jc w:val="left"/>
              <w:rPr>
                <w:rFonts w:cs="Arial"/>
                <w:bCs/>
                <w:color w:val="000000"/>
                <w:szCs w:val="16"/>
              </w:rPr>
            </w:pPr>
            <w:r>
              <w:rPr>
                <w:rFonts w:cs="Arial"/>
                <w:bCs/>
                <w:color w:val="000000"/>
                <w:szCs w:val="16"/>
              </w:rPr>
              <w:t>﻿</w:t>
            </w:r>
          </w:p>
        </w:tc>
        <w:tc>
          <w:tcPr>
            <w:tcW w:w="2761" w:type="dxa"/>
            <w:gridSpan w:val="7"/>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 2026</w:t>
            </w:r>
          </w:p>
        </w:tc>
        <w:tc>
          <w:tcPr>
            <w:tcW w:w="11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w:t>
            </w:r>
          </w:p>
        </w:tc>
        <w:tc>
          <w:tcPr>
            <w:tcW w:w="2451" w:type="dxa"/>
            <w:gridSpan w:val="6"/>
            <w:tcBorders>
              <w:bottom w:val="single" w:sz="8" w:space="0" w:color="000000"/>
            </w:tcBorders>
            <w:tcMar>
              <w:bottom w:w="28" w:type="dxa"/>
            </w:tcMar>
            <w:vAlign w:val="bottom"/>
          </w:tcPr>
          <w:p>
            <w:pPr>
              <w:pStyle w:val="TableContents"/>
              <w:bidi w:val="0"/>
              <w:spacing w:lineRule="auto" w:line="240" w:before="0" w:after="0"/>
              <w:ind w:left="0" w:right="0" w:hanging="0"/>
              <w:jc w:val="center"/>
              <w:rPr/>
            </w:pPr>
            <w:r>
              <w:rPr/>
              <w:t> </w:t>
            </w:r>
          </w:p>
        </w:tc>
      </w:tr>
      <w:tr>
        <w:trPr/>
        <w:tc>
          <w:tcPr>
            <w:tcW w:w="3443" w:type="dxa"/>
            <w:tcBorders/>
            <w:vAlign w:val="bottom"/>
          </w:tcPr>
          <w:p>
            <w:pPr>
              <w:pStyle w:val="TableContents"/>
              <w:bidi w:val="0"/>
              <w:spacing w:lineRule="auto" w:line="240" w:before="0" w:after="0"/>
              <w:ind w:left="0" w:right="0" w:hanging="0"/>
              <w:jc w:val="left"/>
              <w:rPr>
                <w:rFonts w:cs="Arial"/>
                <w:bCs/>
                <w:color w:val="000000"/>
                <w:szCs w:val="16"/>
              </w:rPr>
            </w:pPr>
            <w:r>
              <w:rPr>
                <w:rFonts w:cs="Arial"/>
                <w:bCs/>
                <w:color w:val="000000"/>
                <w:szCs w:val="16"/>
              </w:rPr>
              <w:t>﻿</w:t>
            </w:r>
          </w:p>
        </w:tc>
        <w:tc>
          <w:tcPr>
            <w:tcW w:w="1038"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Average</w:t>
            </w:r>
          </w:p>
        </w:tc>
        <w:tc>
          <w:tcPr>
            <w:tcW w:w="789"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733"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Average</w:t>
            </w:r>
          </w:p>
        </w:tc>
        <w:tc>
          <w:tcPr>
            <w:tcW w:w="201" w:type="dxa"/>
            <w:tcBorders/>
            <w:vAlign w:val="bottom"/>
          </w:tcPr>
          <w:p>
            <w:pPr>
              <w:pStyle w:val="TableContents"/>
              <w:bidi w:val="0"/>
              <w:spacing w:lineRule="auto" w:line="240" w:before="0" w:after="0"/>
              <w:ind w:left="0" w:right="0" w:hanging="0"/>
              <w:jc w:val="left"/>
              <w:rPr/>
            </w:pPr>
            <w:r>
              <w:rPr/>
              <w:t> </w:t>
            </w:r>
          </w:p>
        </w:tc>
        <w:tc>
          <w:tcPr>
            <w:tcW w:w="940"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Average</w:t>
            </w:r>
          </w:p>
        </w:tc>
        <w:tc>
          <w:tcPr>
            <w:tcW w:w="715"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685" w:type="dxa"/>
            <w:gridSpan w:val="2"/>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Average</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cs="Arial"/>
                <w:szCs w:val="16"/>
              </w:rPr>
            </w:pPr>
            <w:r>
              <w:rPr>
                <w:rFonts w:cs="Arial"/>
                <w:szCs w:val="16"/>
              </w:rPr>
              <w:t>﻿</w:t>
            </w:r>
          </w:p>
        </w:tc>
        <w:tc>
          <w:tcPr>
            <w:tcW w:w="1038" w:type="dxa"/>
            <w:gridSpan w:val="2"/>
            <w:tcBorders/>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Balance</w:t>
            </w:r>
          </w:p>
        </w:tc>
        <w:tc>
          <w:tcPr>
            <w:tcW w:w="789" w:type="dxa"/>
            <w:gridSpan w:val="2"/>
            <w:tcBorders/>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Interest</w:t>
            </w:r>
          </w:p>
        </w:tc>
        <w:tc>
          <w:tcPr>
            <w:tcW w:w="733" w:type="dxa"/>
            <w:gridSpan w:val="2"/>
            <w:tcBorders/>
            <w:vAlign w:val="bottom"/>
          </w:tcPr>
          <w:p>
            <w:pPr>
              <w:pStyle w:val="TableContents"/>
              <w:bidi w:val="0"/>
              <w:spacing w:lineRule="auto" w:line="240" w:before="0" w:after="0"/>
              <w:ind w:left="0" w:right="0" w:hanging="0"/>
              <w:jc w:val="center"/>
              <w:rPr>
                <w:color w:val="000000"/>
              </w:rPr>
            </w:pPr>
            <w:r>
              <w:rPr>
                <w:color w:val="000000"/>
              </w:rPr>
              <w:t>  </w:t>
            </w:r>
            <w:r>
              <w:rPr>
                <w:rFonts w:ascii="Arial" w:hAnsi="Arial"/>
                <w:b/>
                <w:color w:val="000000"/>
                <w:sz w:val="16"/>
              </w:rPr>
              <w:t xml:space="preserve">Rate   </w:t>
            </w:r>
          </w:p>
        </w:tc>
        <w:tc>
          <w:tcPr>
            <w:tcW w:w="201" w:type="dxa"/>
            <w:tcBorders/>
            <w:vAlign w:val="bottom"/>
          </w:tcPr>
          <w:p>
            <w:pPr>
              <w:pStyle w:val="TableContents"/>
              <w:bidi w:val="0"/>
              <w:spacing w:lineRule="auto" w:line="240" w:before="0" w:after="0"/>
              <w:ind w:left="0" w:right="0" w:hanging="0"/>
              <w:jc w:val="left"/>
              <w:rPr/>
            </w:pPr>
            <w:r>
              <w:rPr/>
              <w:t> </w:t>
            </w:r>
          </w:p>
        </w:tc>
        <w:tc>
          <w:tcPr>
            <w:tcW w:w="940" w:type="dxa"/>
            <w:gridSpan w:val="2"/>
            <w:tcBorders/>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Balance</w:t>
            </w:r>
          </w:p>
        </w:tc>
        <w:tc>
          <w:tcPr>
            <w:tcW w:w="715" w:type="dxa"/>
            <w:gridSpan w:val="2"/>
            <w:tcBorders/>
            <w:vAlign w:val="bottom"/>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Interest</w:t>
            </w:r>
          </w:p>
        </w:tc>
        <w:tc>
          <w:tcPr>
            <w:tcW w:w="685" w:type="dxa"/>
            <w:gridSpan w:val="2"/>
            <w:tcBorders/>
            <w:vAlign w:val="bottom"/>
          </w:tcPr>
          <w:p>
            <w:pPr>
              <w:pStyle w:val="TableContents"/>
              <w:bidi w:val="0"/>
              <w:spacing w:lineRule="auto" w:line="240" w:before="0" w:after="0"/>
              <w:ind w:left="0" w:right="0" w:hanging="0"/>
              <w:jc w:val="center"/>
              <w:rPr>
                <w:color w:val="000000"/>
              </w:rPr>
            </w:pPr>
            <w:r>
              <w:rPr>
                <w:color w:val="000000"/>
              </w:rPr>
              <w:t>   </w:t>
            </w:r>
            <w:r>
              <w:rPr>
                <w:rFonts w:ascii="Arial" w:hAnsi="Arial"/>
                <w:b/>
                <w:color w:val="000000"/>
                <w:sz w:val="16"/>
              </w:rPr>
              <w:t xml:space="preserve">Rate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cs="Arial"/>
                <w:szCs w:val="16"/>
              </w:rPr>
            </w:pPr>
            <w:r>
              <w:rPr>
                <w:rFonts w:cs="Arial"/>
                <w:szCs w:val="16"/>
              </w:rPr>
              <w:t>﻿</w:t>
            </w:r>
          </w:p>
        </w:tc>
        <w:tc>
          <w:tcPr>
            <w:tcW w:w="1038"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(2)</w:t>
            </w:r>
          </w:p>
        </w:tc>
        <w:tc>
          <w:tcPr>
            <w:tcW w:w="789"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(1)</w:t>
            </w:r>
          </w:p>
        </w:tc>
        <w:tc>
          <w:tcPr>
            <w:tcW w:w="733"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(3)</w:t>
            </w:r>
          </w:p>
        </w:tc>
        <w:tc>
          <w:tcPr>
            <w:tcW w:w="201" w:type="dxa"/>
            <w:tcBorders/>
            <w:vAlign w:val="bottom"/>
          </w:tcPr>
          <w:p>
            <w:pPr>
              <w:pStyle w:val="TableContents"/>
              <w:bidi w:val="0"/>
              <w:spacing w:lineRule="auto" w:line="240" w:before="0" w:after="0"/>
              <w:ind w:left="0" w:right="0" w:hanging="0"/>
              <w:jc w:val="center"/>
              <w:rPr/>
            </w:pPr>
            <w:r>
              <w:rPr/>
              <w:t> </w:t>
            </w:r>
          </w:p>
        </w:tc>
        <w:tc>
          <w:tcPr>
            <w:tcW w:w="94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(2)</w:t>
            </w:r>
          </w:p>
        </w:tc>
        <w:tc>
          <w:tcPr>
            <w:tcW w:w="71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(1)</w:t>
            </w:r>
          </w:p>
        </w:tc>
        <w:tc>
          <w:tcPr>
            <w:tcW w:w="68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(3)</w:t>
            </w:r>
          </w:p>
        </w:tc>
        <w:tc>
          <w:tcPr>
            <w:tcW w:w="22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Assets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Interest-earning assets: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pPr>
            <w:r>
              <w:rPr>
                <w:color w:val="000000"/>
              </w:rPr>
              <w:t xml:space="preserve">  </w:t>
            </w:r>
            <w:r>
              <w:rPr>
                <w:rFonts w:ascii="Arial" w:hAnsi="Arial"/>
                <w:color w:val="000000"/>
                <w:sz w:val="16"/>
              </w:rPr>
              <w:t>Fed funds sold</w:t>
            </w:r>
          </w:p>
        </w:tc>
        <w:tc>
          <w:tcPr>
            <w:tcW w:w="12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1,226 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25 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4.11  </w:t>
            </w:r>
          </w:p>
        </w:tc>
        <w:tc>
          <w:tcPr>
            <w:tcW w:w="20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110"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3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lef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left"/>
              <w:rPr/>
            </w:pPr>
            <w:r>
              <w:rPr/>
              <w:t> </w:t>
            </w:r>
          </w:p>
        </w:tc>
        <w:tc>
          <w:tcPr>
            <w:tcW w:w="22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Interest-bearing deposits with banks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58,074  </w:t>
            </w:r>
          </w:p>
        </w:tc>
        <w:tc>
          <w:tcPr>
            <w:tcW w:w="121"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753 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2.61 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19,939  </w:t>
            </w:r>
          </w:p>
        </w:tc>
        <w:tc>
          <w:tcPr>
            <w:tcW w:w="110"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446 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4.51  </w:t>
            </w:r>
          </w:p>
        </w:tc>
        <w:tc>
          <w:tcPr>
            <w:tcW w:w="221" w:type="dxa"/>
            <w:tcBorders/>
            <w:vAlign w:val="center"/>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Securities available for sale:</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right"/>
              <w:rPr/>
            </w:pPr>
            <w:r>
              <w:rPr/>
              <w:t>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lineRule="auto" w:line="240" w:before="0" w:after="0"/>
              <w:ind w:left="0" w:right="0" w:hanging="0"/>
              <w:jc w:val="righ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Taxable  </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425,350 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8,104 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3.84 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406,416 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7,247 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3.60 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Tax-exempt (1)  </w:t>
            </w:r>
          </w:p>
        </w:tc>
        <w:tc>
          <w:tcPr>
            <w:tcW w:w="121"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44,451 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633 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2.87 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44,199 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626 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2.86 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Total securities available for sale (1)</w:t>
            </w:r>
          </w:p>
        </w:tc>
        <w:tc>
          <w:tcPr>
            <w:tcW w:w="12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469,801 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8,737 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3.75 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450,615 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7,873 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3.52 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Loans receivable (1) (4) (5) </w:t>
            </w:r>
          </w:p>
        </w:tc>
        <w:tc>
          <w:tcPr>
            <w:tcW w:w="121"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2,224,699 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69,700 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6.32 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1,763,710 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53,369 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6.10 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b/>
                <w:color w:val="000000"/>
                <w:sz w:val="16"/>
              </w:rPr>
              <w:t xml:space="preserve">Total interest-earning assets </w:t>
            </w:r>
          </w:p>
        </w:tc>
        <w:tc>
          <w:tcPr>
            <w:tcW w:w="12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2,75,800 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79,215 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5.80 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2,234,264 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61,688 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5.57 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Non-interest earning assets:</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right"/>
              <w:rPr/>
            </w:pPr>
            <w:r>
              <w:rPr/>
              <w:t>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lineRule="auto" w:line="240" w:before="0" w:after="0"/>
              <w:ind w:left="0" w:right="0" w:hanging="0"/>
              <w:jc w:val="righ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Cash and due from banks </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30,409 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29,519 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Allowance for credit losses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(23,976)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(20,445)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right w:val="single" w:sz="8" w:space="0" w:color="000000"/>
            </w:tcBorders>
            <w:tcMar>
              <w:right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Other assets </w:t>
            </w:r>
          </w:p>
        </w:tc>
        <w:tc>
          <w:tcPr>
            <w:tcW w:w="121" w:type="dxa"/>
            <w:tcBorders>
              <w:left w:val="single" w:sz="8" w:space="0" w:color="000000"/>
              <w:bottom w:val="single" w:sz="8" w:space="0" w:color="000000"/>
            </w:tcBorders>
            <w:tcMar>
              <w:left w:w="28" w:type="dxa"/>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130,526 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94,031 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b/>
                <w:color w:val="000000"/>
                <w:sz w:val="16"/>
              </w:rPr>
              <w:t xml:space="preserve">Total non-interest earning assets </w:t>
            </w:r>
          </w:p>
        </w:tc>
        <w:tc>
          <w:tcPr>
            <w:tcW w:w="121"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136,959 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103,105 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 xml:space="preserve">Total Assets </w:t>
            </w:r>
          </w:p>
        </w:tc>
        <w:tc>
          <w:tcPr>
            <w:tcW w:w="12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1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2890,759 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30" w:type="dxa"/>
            <w:tcBorders>
              <w:bottom w:val="double" w:sz="5"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2,337,369 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Liabilities and Stockholders' Equity</w:t>
            </w:r>
          </w:p>
        </w:tc>
        <w:tc>
          <w:tcPr>
            <w:tcW w:w="121"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Interest-bearing liabilities: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righ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Interest-bearing demand and money market </w:t>
            </w:r>
          </w:p>
        </w:tc>
        <w:tc>
          <w:tcPr>
            <w:tcW w:w="12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725,787  </w:t>
            </w:r>
          </w:p>
        </w:tc>
        <w:tc>
          <w:tcPr>
            <w:tcW w:w="12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68"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6,922 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1.92 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30"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560,469  </w:t>
            </w:r>
          </w:p>
        </w:tc>
        <w:tc>
          <w:tcPr>
            <w:tcW w:w="110"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05"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5,688 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2.05 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Savings  </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225,380 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337 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0.30 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208,090 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261 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0.25 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Time  </w:t>
            </w:r>
          </w:p>
        </w:tc>
        <w:tc>
          <w:tcPr>
            <w:tcW w:w="121"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1,056,053  </w:t>
            </w:r>
          </w:p>
        </w:tc>
        <w:tc>
          <w:tcPr>
            <w:tcW w:w="121"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668"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18,427 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3.52 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807,841 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15,668 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3.91 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b/>
                <w:color w:val="000000"/>
                <w:sz w:val="16"/>
              </w:rPr>
              <w:t xml:space="preserve">Total interest-bearing deposits </w:t>
            </w:r>
          </w:p>
        </w:tc>
        <w:tc>
          <w:tcPr>
            <w:tcW w:w="12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2,00,220  </w:t>
            </w:r>
          </w:p>
        </w:tc>
        <w:tc>
          <w:tcPr>
            <w:tcW w:w="12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68"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25,686 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2.58 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single" w:sz="8" w:space="0" w:color="000000"/>
            </w:tcBorders>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1,576,400 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21,617 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2.77 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Short-term borrowings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4,782 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92 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3.88 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30,954 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669 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4.36 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Other borrowings  </w:t>
            </w:r>
          </w:p>
        </w:tc>
        <w:tc>
          <w:tcPr>
            <w:tcW w:w="12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81,395  </w:t>
            </w:r>
          </w:p>
        </w:tc>
        <w:tc>
          <w:tcPr>
            <w:tcW w:w="12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668"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1,669 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4.13 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94,676 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2,082 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4.43 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b/>
                <w:color w:val="000000"/>
                <w:sz w:val="16"/>
              </w:rPr>
              <w:t xml:space="preserve">Total interest-bearing liabilities </w:t>
            </w:r>
          </w:p>
        </w:tc>
        <w:tc>
          <w:tcPr>
            <w:tcW w:w="121"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2,093,397  </w:t>
            </w:r>
          </w:p>
        </w:tc>
        <w:tc>
          <w:tcPr>
            <w:tcW w:w="121"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668"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27,447 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2.64 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1,702,030 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24,368 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2.89 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Non-interest bearing liabilities:</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righ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Demand deposits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472,412 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384,958 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Other liabilities </w:t>
            </w:r>
          </w:p>
        </w:tc>
        <w:tc>
          <w:tcPr>
            <w:tcW w:w="12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35,886 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29,594 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b/>
                <w:color w:val="000000"/>
                <w:sz w:val="16"/>
              </w:rPr>
              <w:t xml:space="preserve">Total non-interest bearing liabilities </w:t>
            </w:r>
          </w:p>
        </w:tc>
        <w:tc>
          <w:tcPr>
            <w:tcW w:w="121"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508,297 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414,552 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6"/>
              </w:rPr>
              <w:t xml:space="preserve">Stockholders' equity </w:t>
            </w:r>
          </w:p>
        </w:tc>
        <w:tc>
          <w:tcPr>
            <w:tcW w:w="12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289,064 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right"/>
              <w:rPr/>
            </w:pPr>
            <w:r>
              <w:rPr/>
              <w:t>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220,787 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right"/>
              <w:rPr/>
            </w:pPr>
            <w:r>
              <w:rPr/>
              <w:t>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 xml:space="preserve">Total Liabilities and Stockholders' Equity </w:t>
            </w:r>
          </w:p>
        </w:tc>
        <w:tc>
          <w:tcPr>
            <w:tcW w:w="121"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1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2,890,759 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668" w:type="dxa"/>
            <w:tcBorders/>
            <w:shd w:fill="CCEEFF" w:val="clear"/>
            <w:vAlign w:val="bottom"/>
          </w:tcPr>
          <w:p>
            <w:pPr>
              <w:pStyle w:val="TableContents"/>
              <w:bidi w:val="0"/>
              <w:spacing w:lineRule="auto" w:line="240" w:before="0" w:after="0"/>
              <w:ind w:left="0" w:right="0" w:hanging="0"/>
              <w:jc w:val="righ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3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2,337,369 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605" w:type="dxa"/>
            <w:tcBorders/>
            <w:shd w:fill="CCEEFF" w:val="clear"/>
            <w:vAlign w:val="bottom"/>
          </w:tcPr>
          <w:p>
            <w:pPr>
              <w:pStyle w:val="TableContents"/>
              <w:bidi w:val="0"/>
              <w:spacing w:lineRule="auto" w:line="240" w:before="0" w:after="0"/>
              <w:ind w:left="0" w:right="0" w:hanging="0"/>
              <w:jc w:val="righ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shd w:fill="CCEEFF" w:val="clear"/>
            <w:vAlign w:val="bottom"/>
          </w:tcPr>
          <w:p>
            <w:pPr>
              <w:pStyle w:val="TableContents"/>
              <w:bidi w:val="0"/>
              <w:spacing w:lineRule="auto" w:line="240" w:before="0" w:after="0"/>
              <w:ind w:left="0" w:right="0" w:hanging="0"/>
              <w:jc w:val="right"/>
              <w:rPr/>
            </w:pPr>
            <w:r>
              <w:rPr/>
              <w:t> </w:t>
            </w:r>
          </w:p>
        </w:tc>
        <w:tc>
          <w:tcPr>
            <w:tcW w:w="221" w:type="dxa"/>
            <w:tcBorders/>
            <w:shd w:fill="CCEEFF" w:val="cle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Net interest income/spread (tax equivalent basis) </w:t>
            </w:r>
          </w:p>
        </w:tc>
        <w:tc>
          <w:tcPr>
            <w:tcW w:w="12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51,768 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3.16  </w:t>
            </w:r>
          </w:p>
        </w:tc>
        <w:tc>
          <w:tcPr>
            <w:tcW w:w="201"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 </w:t>
            </w:r>
          </w:p>
        </w:tc>
        <w:tc>
          <w:tcPr>
            <w:tcW w:w="11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30"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37,320 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bottom w:val="double" w:sz="5" w:space="0" w:color="000000"/>
            </w:tcBorders>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2.68  </w:t>
            </w:r>
          </w:p>
        </w:tc>
        <w:tc>
          <w:tcPr>
            <w:tcW w:w="221" w:type="dxa"/>
            <w:tcBorders>
              <w:bottom w:val="double" w:sz="5" w:space="0" w:color="000000"/>
            </w:tcBorders>
            <w:tcMar>
              <w:bottom w:w="28" w:type="dxa"/>
            </w:tcMar>
            <w:vAlign w:val="center"/>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 xml:space="preserve">%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Tax-equivalent basis adjustment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right"/>
              <w:rPr/>
            </w:pPr>
            <w:r>
              <w:rPr/>
              <w:t> </w:t>
            </w:r>
          </w:p>
        </w:tc>
        <w:tc>
          <w:tcPr>
            <w:tcW w:w="121"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668"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(375)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lineRule="auto" w:line="240" w:before="0" w:after="0"/>
              <w:ind w:left="0" w:right="0" w:hanging="0"/>
              <w:jc w:val="right"/>
              <w:rPr/>
            </w:pPr>
            <w:r>
              <w:rPr/>
              <w:t> </w:t>
            </w:r>
          </w:p>
        </w:tc>
        <w:tc>
          <w:tcPr>
            <w:tcW w:w="201"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605"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(397)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right"/>
              <w:rPr/>
            </w:pPr>
            <w:r>
              <w:rPr/>
              <w:t> </w:t>
            </w:r>
          </w:p>
        </w:tc>
        <w:tc>
          <w:tcPr>
            <w:tcW w:w="221"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Net interest income </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6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51,393  </w:t>
            </w:r>
          </w:p>
        </w:tc>
        <w:tc>
          <w:tcPr>
            <w:tcW w:w="90" w:type="dxa"/>
            <w:tcBorders/>
            <w:vAlign w:val="center"/>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righ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6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36,923  </w:t>
            </w:r>
          </w:p>
        </w:tc>
        <w:tc>
          <w:tcPr>
            <w:tcW w:w="84" w:type="dxa"/>
            <w:tcBorders/>
            <w:vAlign w:val="center"/>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righ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Net interest margin (tax equivalent basis) </w:t>
            </w:r>
          </w:p>
        </w:tc>
        <w:tc>
          <w:tcPr>
            <w:tcW w:w="121"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right"/>
              <w:rPr/>
            </w:pPr>
            <w:r>
              <w:rPr/>
              <w:t> </w:t>
            </w:r>
          </w:p>
        </w:tc>
        <w:tc>
          <w:tcPr>
            <w:tcW w:w="121"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668"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0" w:type="dxa"/>
            <w:tcBorders/>
            <w:shd w:fill="CCEEFF" w:val="clear"/>
            <w:vAlign w:val="center"/>
          </w:tcPr>
          <w:p>
            <w:pPr>
              <w:pStyle w:val="TableContents"/>
              <w:bidi w:val="0"/>
              <w:spacing w:lineRule="auto" w:line="240" w:before="0" w:after="0"/>
              <w:ind w:left="0" w:right="0" w:hanging="0"/>
              <w:jc w:val="left"/>
              <w:rPr/>
            </w:pPr>
            <w:r>
              <w:rPr/>
              <w:t> </w:t>
            </w:r>
          </w:p>
        </w:tc>
        <w:tc>
          <w:tcPr>
            <w:tcW w:w="643" w:type="dxa"/>
            <w:tcBorders/>
            <w:shd w:fill="CCEEFF" w:val="cle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3.79  </w:t>
            </w:r>
          </w:p>
        </w:tc>
        <w:tc>
          <w:tcPr>
            <w:tcW w:w="201" w:type="dxa"/>
            <w:tcBorders/>
            <w:shd w:fill="CCEEFF" w:val="clear"/>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 xml:space="preserve">%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3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605" w:type="dxa"/>
            <w:tcBorders>
              <w:top w:val="double" w:sz="5"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4" w:type="dxa"/>
            <w:tcBorders/>
            <w:shd w:fill="CCEEFF" w:val="clear"/>
            <w:vAlign w:val="center"/>
          </w:tcPr>
          <w:p>
            <w:pPr>
              <w:pStyle w:val="TableContents"/>
              <w:bidi w:val="0"/>
              <w:spacing w:lineRule="auto" w:line="240" w:before="0" w:after="0"/>
              <w:ind w:left="0" w:right="0" w:hanging="0"/>
              <w:jc w:val="left"/>
              <w:rPr/>
            </w:pPr>
            <w:r>
              <w:rPr/>
              <w:t> </w:t>
            </w:r>
          </w:p>
        </w:tc>
        <w:tc>
          <w:tcPr>
            <w:tcW w:w="601"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color w:val="000000"/>
                <w:sz w:val="16"/>
              </w:rPr>
            </w:pPr>
            <w:r>
              <w:rPr>
                <w:rFonts w:ascii="Arial" w:hAnsi="Arial"/>
                <w:color w:val="000000"/>
                <w:sz w:val="16"/>
              </w:rPr>
              <w:t xml:space="preserve">3.37  </w:t>
            </w:r>
          </w:p>
        </w:tc>
        <w:tc>
          <w:tcPr>
            <w:tcW w:w="221" w:type="dxa"/>
            <w:tcBorders>
              <w:bottom w:val="double" w:sz="5" w:space="0" w:color="000000"/>
            </w:tcBorders>
            <w:shd w:fill="CCEEFF" w:val="clear"/>
            <w:tcMar>
              <w:bottom w:w="28" w:type="dxa"/>
            </w:tcMar>
            <w:vAlign w:val="center"/>
          </w:tcPr>
          <w:p>
            <w:pPr>
              <w:pStyle w:val="TableContents"/>
              <w:bidi w:val="0"/>
              <w:spacing w:lineRule="auto" w:line="240" w:before="0" w:after="0"/>
              <w:ind w:left="0" w:right="0" w:hanging="0"/>
              <w:jc w:val="center"/>
              <w:rPr>
                <w:rFonts w:ascii="Arial" w:hAnsi="Arial"/>
                <w:color w:val="000000"/>
                <w:sz w:val="16"/>
              </w:rPr>
            </w:pPr>
            <w:r>
              <w:rPr>
                <w:rFonts w:ascii="Arial" w:hAnsi="Arial"/>
                <w:color w:val="000000"/>
                <w:sz w:val="16"/>
              </w:rPr>
              <w:t xml:space="preserve">% </w:t>
            </w:r>
          </w:p>
        </w:tc>
      </w:tr>
      <w:tr>
        <w:trPr/>
        <w:tc>
          <w:tcPr>
            <w:tcW w:w="3443" w:type="dxa"/>
            <w:tcBorders/>
            <w:vAlign w:val="bottom"/>
          </w:tcPr>
          <w:p>
            <w:pPr>
              <w:pStyle w:val="TableContents"/>
              <w:bidi w:val="0"/>
              <w:spacing w:lineRule="auto" w:line="240" w:before="0" w:after="0"/>
              <w:ind w:left="0" w:right="0" w:hanging="0"/>
              <w:jc w:val="left"/>
              <w:rPr>
                <w:rFonts w:cs="Arial"/>
                <w:color w:val="000000"/>
                <w:szCs w:val="16"/>
              </w:rPr>
            </w:pPr>
            <w:r>
              <w:rPr>
                <w:rFonts w:cs="Arial"/>
                <w:color w:val="000000"/>
                <w:szCs w:val="16"/>
              </w:rPr>
              <w:t>﻿</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2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cs="Arial"/>
                <w:szCs w:val="16"/>
              </w:rPr>
            </w:pPr>
            <w:r>
              <w:rPr>
                <w:rFonts w:cs="Arial"/>
                <w:szCs w:val="16"/>
              </w:rPr>
              <w:t>﻿</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6003" w:type="dxa"/>
            <w:gridSpan w:val="7"/>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(1)  Interest and yields are presented on a tax-equivalent basis using a marginal tax rate of 21%.</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4481" w:type="dxa"/>
            <w:gridSpan w:val="3"/>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(2)  Average balances have been calculated based on daily balances.</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3443" w:type="dxa"/>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(3)  Annualized</w:t>
            </w:r>
          </w:p>
        </w:tc>
        <w:tc>
          <w:tcPr>
            <w:tcW w:w="121"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21" w:type="dxa"/>
            <w:tcBorders/>
            <w:vAlign w:val="bottom"/>
          </w:tcPr>
          <w:p>
            <w:pPr>
              <w:pStyle w:val="TableContents"/>
              <w:bidi w:val="0"/>
              <w:spacing w:lineRule="auto" w:line="240" w:before="0" w:after="0"/>
              <w:ind w:left="0" w:right="0" w:hanging="0"/>
              <w:jc w:val="left"/>
              <w:rPr/>
            </w:pPr>
            <w:r>
              <w:rPr/>
              <w:t> </w:t>
            </w:r>
          </w:p>
        </w:tc>
        <w:tc>
          <w:tcPr>
            <w:tcW w:w="668"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5270" w:type="dxa"/>
            <w:gridSpan w:val="5"/>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(4)  Loan balances include non-accrual loans and are net of unearned income.</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r>
        <w:trPr/>
        <w:tc>
          <w:tcPr>
            <w:tcW w:w="5270" w:type="dxa"/>
            <w:gridSpan w:val="5"/>
            <w:tcBorders/>
            <w:vAlign w:val="bottom"/>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(5)  Loan yields include the effect of amortization of deferred fees, net of costs.</w:t>
            </w:r>
          </w:p>
        </w:tc>
        <w:tc>
          <w:tcPr>
            <w:tcW w:w="90" w:type="dxa"/>
            <w:tcBorders/>
            <w:vAlign w:val="bottom"/>
          </w:tcPr>
          <w:p>
            <w:pPr>
              <w:pStyle w:val="TableContents"/>
              <w:bidi w:val="0"/>
              <w:spacing w:lineRule="auto" w:line="240" w:before="0" w:after="0"/>
              <w:ind w:left="0" w:right="0" w:hanging="0"/>
              <w:jc w:val="left"/>
              <w:rPr/>
            </w:pPr>
            <w:r>
              <w:rPr/>
              <w:t> </w:t>
            </w:r>
          </w:p>
        </w:tc>
        <w:tc>
          <w:tcPr>
            <w:tcW w:w="643"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84" w:type="dxa"/>
            <w:tcBorders/>
            <w:vAlign w:val="bottom"/>
          </w:tcPr>
          <w:p>
            <w:pPr>
              <w:pStyle w:val="TableContents"/>
              <w:bidi w:val="0"/>
              <w:spacing w:lineRule="auto" w:line="240" w:before="0" w:after="0"/>
              <w:ind w:left="0" w:right="0" w:hanging="0"/>
              <w:jc w:val="left"/>
              <w:rPr/>
            </w:pPr>
            <w:r>
              <w:rPr/>
              <w:t> </w:t>
            </w:r>
          </w:p>
        </w:tc>
        <w:tc>
          <w:tcPr>
            <w:tcW w:w="601" w:type="dxa"/>
            <w:tcBorders/>
            <w:vAlign w:val="bottom"/>
          </w:tcPr>
          <w:p>
            <w:pPr>
              <w:pStyle w:val="TableContents"/>
              <w:bidi w:val="0"/>
              <w:spacing w:lineRule="auto" w:line="240" w:before="0" w:after="0"/>
              <w:ind w:left="0" w:right="0" w:hanging="0"/>
              <w:jc w:val="left"/>
              <w:rPr/>
            </w:pPr>
            <w:r>
              <w:rPr/>
              <w:t> </w:t>
            </w:r>
          </w:p>
        </w:tc>
        <w:tc>
          <w:tcPr>
            <w:tcW w:w="221"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76" w:before="0" w:after="160"/>
        <w:ind w:left="720" w:right="720" w:hanging="0"/>
        <w:jc w:val="left"/>
        <w:rPr>
          <w:rFonts w:cs="Aptos"/>
          <w:szCs w:val="24"/>
        </w:rPr>
      </w:pPr>
      <w:r>
        <w:rPr>
          <w:rFonts w:cs="Times New Roman"/>
          <w:szCs w:val="24"/>
        </w:rPr>
        <w:t>﻿</w:t>
      </w: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6235" w:type="dxa"/>
        <w:jc w:val="left"/>
        <w:tblInd w:w="720" w:type="dxa"/>
        <w:tblLayout w:type="fixed"/>
        <w:tblCellMar>
          <w:top w:w="0" w:type="dxa"/>
          <w:left w:w="0" w:type="dxa"/>
          <w:bottom w:w="0" w:type="dxa"/>
          <w:right w:w="0" w:type="dxa"/>
        </w:tblCellMar>
      </w:tblPr>
      <w:tblGrid>
        <w:gridCol w:w="3860"/>
        <w:gridCol w:w="185"/>
        <w:gridCol w:w="995"/>
        <w:gridCol w:w="185"/>
        <w:gridCol w:w="1010"/>
      </w:tblGrid>
      <w:tr>
        <w:trPr/>
        <w:tc>
          <w:tcPr>
            <w:tcW w:w="3860" w:type="dxa"/>
            <w:tcBorders/>
            <w:vAlign w:val="bottom"/>
          </w:tcPr>
          <w:p>
            <w:pPr>
              <w:pStyle w:val="TableContents"/>
              <w:bidi w:val="0"/>
              <w:spacing w:lineRule="auto" w:line="276" w:before="0" w:after="0"/>
              <w:ind w:left="0" w:right="0" w:hanging="0"/>
              <w:jc w:val="left"/>
              <w:rPr>
                <w:rFonts w:cs="Arial"/>
                <w:szCs w:val="2"/>
              </w:rPr>
            </w:pPr>
            <w:r>
              <w:rPr>
                <w:rFonts w:cs="Arial"/>
                <w:szCs w:val="2"/>
              </w:rPr>
              <w:t>﻿</w:t>
            </w:r>
          </w:p>
        </w:tc>
        <w:tc>
          <w:tcPr>
            <w:tcW w:w="185" w:type="dxa"/>
            <w:tcBorders/>
            <w:vAlign w:val="bottom"/>
          </w:tcPr>
          <w:p>
            <w:pPr>
              <w:pStyle w:val="TableContents"/>
              <w:bidi w:val="0"/>
              <w:spacing w:lineRule="auto" w:line="276" w:before="0" w:after="0"/>
              <w:ind w:left="0" w:right="0" w:hanging="0"/>
              <w:jc w:val="left"/>
              <w:rPr/>
            </w:pPr>
            <w:r>
              <w:rPr/>
              <w:t> </w:t>
            </w:r>
          </w:p>
        </w:tc>
        <w:tc>
          <w:tcPr>
            <w:tcW w:w="995" w:type="dxa"/>
            <w:tcBorders/>
            <w:vAlign w:val="bottom"/>
          </w:tcPr>
          <w:p>
            <w:pPr>
              <w:pStyle w:val="TableContents"/>
              <w:bidi w:val="0"/>
              <w:spacing w:lineRule="auto" w:line="276" w:before="0" w:after="0"/>
              <w:ind w:left="0" w:right="0" w:hanging="0"/>
              <w:jc w:val="left"/>
              <w:rPr/>
            </w:pPr>
            <w:r>
              <w:rPr/>
              <w:t> </w:t>
            </w:r>
          </w:p>
        </w:tc>
        <w:tc>
          <w:tcPr>
            <w:tcW w:w="185" w:type="dxa"/>
            <w:tcBorders/>
            <w:vAlign w:val="bottom"/>
          </w:tcPr>
          <w:p>
            <w:pPr>
              <w:pStyle w:val="TableContents"/>
              <w:bidi w:val="0"/>
              <w:spacing w:lineRule="auto" w:line="276" w:before="0" w:after="0"/>
              <w:ind w:left="0" w:right="0" w:hanging="0"/>
              <w:jc w:val="left"/>
              <w:rPr/>
            </w:pPr>
            <w:r>
              <w:rPr/>
              <w:t> </w:t>
            </w:r>
          </w:p>
        </w:tc>
        <w:tc>
          <w:tcPr>
            <w:tcW w:w="1010" w:type="dxa"/>
            <w:tcBorders/>
            <w:vAlign w:val="bottom"/>
          </w:tcPr>
          <w:p>
            <w:pPr>
              <w:pStyle w:val="TableContents"/>
              <w:bidi w:val="0"/>
              <w:spacing w:lineRule="auto" w:line="276" w:before="0" w:after="0"/>
              <w:ind w:left="0" w:right="0" w:hanging="0"/>
              <w:jc w:val="left"/>
              <w:rPr/>
            </w:pPr>
            <w:r>
              <w:rPr/>
              <w:t> </w:t>
            </w:r>
          </w:p>
        </w:tc>
      </w:tr>
      <w:tr>
        <w:trPr/>
        <w:tc>
          <w:tcPr>
            <w:tcW w:w="6235" w:type="dxa"/>
            <w:gridSpan w:val="5"/>
            <w:tcBorders/>
            <w:vAlign w:val="bottom"/>
          </w:tcPr>
          <w:p>
            <w:pPr>
              <w:pStyle w:val="TableContents"/>
              <w:bidi w:val="0"/>
              <w:spacing w:lineRule="auto" w:line="240" w:before="0" w:after="0"/>
              <w:ind w:left="0" w:right="0" w:hanging="0"/>
              <w:jc w:val="left"/>
              <w:rPr>
                <w:rFonts w:ascii="Arial" w:hAnsi="Arial"/>
                <w:b/>
                <w:sz w:val="20"/>
              </w:rPr>
            </w:pPr>
            <w:r>
              <w:rPr>
                <w:rFonts w:ascii="Arial" w:hAnsi="Arial"/>
                <w:b/>
                <w:sz w:val="20"/>
              </w:rPr>
              <w:t>NORWOOD FINANCIAL CORP</w:t>
            </w:r>
          </w:p>
        </w:tc>
      </w:tr>
      <w:tr>
        <w:trPr/>
        <w:tc>
          <w:tcPr>
            <w:tcW w:w="6235" w:type="dxa"/>
            <w:gridSpan w:val="5"/>
            <w:tcBorders/>
            <w:vAlign w:val="bottom"/>
          </w:tcPr>
          <w:p>
            <w:pPr>
              <w:pStyle w:val="TableContents"/>
              <w:bidi w:val="0"/>
              <w:spacing w:lineRule="auto" w:line="240" w:before="0" w:after="0"/>
              <w:ind w:left="0" w:right="0" w:hanging="0"/>
              <w:jc w:val="left"/>
              <w:rPr>
                <w:rFonts w:ascii="Arial" w:hAnsi="Arial"/>
                <w:b/>
                <w:sz w:val="20"/>
              </w:rPr>
            </w:pPr>
            <w:r>
              <w:rPr>
                <w:rFonts w:ascii="Arial" w:hAnsi="Arial"/>
                <w:b/>
                <w:sz w:val="20"/>
              </w:rPr>
              <w:t>Financial Highlights (Unaudited)</w:t>
            </w:r>
          </w:p>
        </w:tc>
      </w:tr>
      <w:tr>
        <w:trPr/>
        <w:tc>
          <w:tcPr>
            <w:tcW w:w="6235" w:type="dxa"/>
            <w:gridSpan w:val="5"/>
            <w:tcBorders/>
            <w:vAlign w:val="bottom"/>
          </w:tcPr>
          <w:p>
            <w:pPr>
              <w:pStyle w:val="TableContents"/>
              <w:bidi w:val="0"/>
              <w:spacing w:lineRule="auto" w:line="240" w:before="0" w:after="0"/>
              <w:ind w:left="0" w:right="0" w:hanging="0"/>
              <w:jc w:val="left"/>
              <w:rPr>
                <w:rFonts w:ascii="Arial" w:hAnsi="Arial"/>
                <w:b/>
                <w:sz w:val="20"/>
              </w:rPr>
            </w:pPr>
            <w:r>
              <w:rPr>
                <w:rFonts w:ascii="Arial" w:hAnsi="Arial"/>
                <w:b/>
                <w:sz w:val="20"/>
              </w:rPr>
              <w:t>(dollars in thousands, except per share data)</w:t>
            </w:r>
          </w:p>
        </w:tc>
      </w:tr>
      <w:tr>
        <w:trPr/>
        <w:tc>
          <w:tcPr>
            <w:tcW w:w="3860" w:type="dxa"/>
            <w:tcBorders/>
            <w:vAlign w:val="bottom"/>
          </w:tcPr>
          <w:p>
            <w:pPr>
              <w:pStyle w:val="TableContents"/>
              <w:bidi w:val="0"/>
              <w:spacing w:lineRule="auto" w:line="240" w:before="0" w:after="0"/>
              <w:ind w:left="0" w:right="0" w:hanging="0"/>
              <w:jc w:val="left"/>
              <w:rPr>
                <w:rFonts w:cs="Arial"/>
                <w:bCs/>
                <w:szCs w:val="20"/>
              </w:rPr>
            </w:pPr>
            <w:r>
              <w:rPr>
                <w:rFonts w:cs="Arial"/>
                <w:bCs/>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vAlign w:val="bottom"/>
          </w:tcPr>
          <w:p>
            <w:pPr>
              <w:pStyle w:val="TableContents"/>
              <w:bidi w:val="0"/>
              <w:spacing w:lineRule="auto" w:line="240" w:before="0" w:after="0"/>
              <w:ind w:left="0" w:right="0" w:hanging="0"/>
              <w:jc w:val="left"/>
              <w:rPr>
                <w:rFonts w:ascii="Arial" w:hAnsi="Arial"/>
                <w:b/>
                <w:sz w:val="20"/>
                <w:u w:val="single"/>
              </w:rPr>
            </w:pPr>
            <w:r>
              <w:rPr>
                <w:rFonts w:ascii="Arial" w:hAnsi="Arial"/>
                <w:b/>
                <w:sz w:val="20"/>
                <w:u w:val="single"/>
              </w:rPr>
              <w:t>For the Three Months Ended June 30</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9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20"/>
              </w:rPr>
            </w:pPr>
            <w:r>
              <w:rPr>
                <w:rFonts w:ascii="Arial" w:hAnsi="Arial"/>
                <w:b/>
                <w:sz w:val="20"/>
              </w:rPr>
              <w:t>2026</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20"/>
              </w:rPr>
            </w:pPr>
            <w:r>
              <w:rPr>
                <w:rFonts w:ascii="Arial" w:hAnsi="Arial"/>
                <w:color w:val="000000"/>
                <w:sz w:val="20"/>
              </w:rPr>
              <w:t>2025</w:t>
            </w:r>
          </w:p>
        </w:tc>
      </w:tr>
      <w:tr>
        <w:trPr/>
        <w:tc>
          <w:tcPr>
            <w:tcW w:w="3860" w:type="dxa"/>
            <w:tcBorders/>
            <w:vAlign w:val="bottom"/>
          </w:tcPr>
          <w:p>
            <w:pPr>
              <w:pStyle w:val="TableContents"/>
              <w:bidi w:val="0"/>
              <w:spacing w:lineRule="auto" w:line="240" w:before="0" w:after="0"/>
              <w:ind w:left="0" w:right="0" w:hanging="0"/>
              <w:jc w:val="left"/>
              <w:rPr>
                <w:rFonts w:cs="Arial"/>
                <w:color w:val="000000"/>
                <w:szCs w:val="20"/>
              </w:rPr>
            </w:pPr>
            <w:r>
              <w:rPr>
                <w:rFonts w:cs="Arial"/>
                <w:color w:val="000000"/>
                <w:szCs w:val="20"/>
              </w:rPr>
              <w:t>﻿</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income</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26,839 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19,065 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income</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9,328 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6,205 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spread (fully taxable equivalent)</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3.27%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2.75%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margin (fully taxable equivalent)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3.90%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3.43%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assets</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1.28%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1.06%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equity</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12.98%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11.14%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tangible equity</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15.04%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12.83%  </w:t>
            </w:r>
          </w:p>
        </w:tc>
      </w:tr>
      <w:tr>
        <w:trPr/>
        <w:tc>
          <w:tcPr>
            <w:tcW w:w="3860" w:type="dxa"/>
            <w:tcBorders/>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Basic earnings per share  </w:t>
            </w:r>
          </w:p>
        </w:tc>
        <w:tc>
          <w:tcPr>
            <w:tcW w:w="185"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0.86  </w:t>
            </w:r>
          </w:p>
        </w:tc>
        <w:tc>
          <w:tcPr>
            <w:tcW w:w="185"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0.67 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Diluted earnings per share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0.86 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0.67 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vAlign w:val="bottom"/>
          </w:tcPr>
          <w:p>
            <w:pPr>
              <w:pStyle w:val="TableContents"/>
              <w:bidi w:val="0"/>
              <w:spacing w:lineRule="auto" w:line="240" w:before="0" w:after="0"/>
              <w:ind w:left="0" w:right="0" w:hanging="0"/>
              <w:jc w:val="left"/>
              <w:rPr>
                <w:rFonts w:ascii="Arial" w:hAnsi="Arial"/>
                <w:b/>
                <w:sz w:val="20"/>
                <w:u w:val="single"/>
              </w:rPr>
            </w:pPr>
            <w:r>
              <w:rPr>
                <w:rFonts w:ascii="Arial" w:hAnsi="Arial"/>
                <w:b/>
                <w:sz w:val="20"/>
                <w:u w:val="single"/>
              </w:rPr>
              <w:t>For the Six Months Ended June 30</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9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20"/>
              </w:rPr>
            </w:pPr>
            <w:r>
              <w:rPr>
                <w:rFonts w:ascii="Arial" w:hAnsi="Arial"/>
                <w:b/>
                <w:sz w:val="20"/>
              </w:rPr>
              <w:t>2026</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20"/>
              </w:rPr>
            </w:pPr>
            <w:r>
              <w:rPr>
                <w:rFonts w:ascii="Arial" w:hAnsi="Arial"/>
                <w:color w:val="000000"/>
                <w:sz w:val="20"/>
              </w:rPr>
              <w:t>2025</w:t>
            </w:r>
          </w:p>
        </w:tc>
      </w:tr>
      <w:tr>
        <w:trPr/>
        <w:tc>
          <w:tcPr>
            <w:tcW w:w="3860" w:type="dxa"/>
            <w:tcBorders/>
            <w:vAlign w:val="bottom"/>
          </w:tcPr>
          <w:p>
            <w:pPr>
              <w:pStyle w:val="TableContents"/>
              <w:bidi w:val="0"/>
              <w:spacing w:lineRule="auto" w:line="240" w:before="0" w:after="0"/>
              <w:ind w:left="0" w:right="0" w:hanging="0"/>
              <w:jc w:val="left"/>
              <w:rPr>
                <w:rFonts w:cs="Arial"/>
                <w:color w:val="000000"/>
                <w:szCs w:val="20"/>
              </w:rPr>
            </w:pPr>
            <w:r>
              <w:rPr>
                <w:rFonts w:cs="Arial"/>
                <w:color w:val="000000"/>
                <w:szCs w:val="20"/>
              </w:rPr>
              <w:t>﻿</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income</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51,393 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36,923 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income</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13,058 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11,978 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spread (fully taxable equivalent)</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3.16%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2.68%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Net interest margin (fully taxable equivalent)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3.79%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3.37%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assets</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0.91%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1.03%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equity</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9.11%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10.94%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Return on average tangible equity</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10.55%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12.62%  </w:t>
            </w:r>
          </w:p>
        </w:tc>
      </w:tr>
      <w:tr>
        <w:trPr/>
        <w:tc>
          <w:tcPr>
            <w:tcW w:w="3860" w:type="dxa"/>
            <w:tcBorders/>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Basic earnings per share  </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1.21 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1.30 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Diluted earnings per share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1.21 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1.30 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vAlign w:val="bottom"/>
          </w:tcPr>
          <w:p>
            <w:pPr>
              <w:pStyle w:val="TableContents"/>
              <w:bidi w:val="0"/>
              <w:spacing w:lineRule="auto" w:line="240" w:before="0" w:after="0"/>
              <w:ind w:left="0" w:right="0" w:hanging="0"/>
              <w:jc w:val="left"/>
              <w:rPr>
                <w:rFonts w:ascii="Arial" w:hAnsi="Arial"/>
                <w:b/>
                <w:sz w:val="20"/>
                <w:u w:val="single"/>
              </w:rPr>
            </w:pPr>
            <w:r>
              <w:rPr>
                <w:rFonts w:ascii="Arial" w:hAnsi="Arial"/>
                <w:b/>
                <w:sz w:val="20"/>
                <w:u w:val="single"/>
              </w:rPr>
              <w:t>As of June 30</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9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b/>
                <w:sz w:val="20"/>
              </w:rPr>
            </w:pPr>
            <w:r>
              <w:rPr>
                <w:rFonts w:ascii="Arial" w:hAnsi="Arial"/>
                <w:b/>
                <w:sz w:val="20"/>
              </w:rPr>
              <w:t>2026</w:t>
            </w:r>
          </w:p>
        </w:tc>
        <w:tc>
          <w:tcPr>
            <w:tcW w:w="18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color w:val="000000"/>
                <w:sz w:val="20"/>
              </w:rPr>
            </w:pPr>
            <w:r>
              <w:rPr>
                <w:rFonts w:ascii="Arial" w:hAnsi="Arial"/>
                <w:color w:val="000000"/>
                <w:sz w:val="20"/>
              </w:rPr>
              <w:t>2025</w:t>
            </w:r>
          </w:p>
        </w:tc>
      </w:tr>
      <w:tr>
        <w:trPr/>
        <w:tc>
          <w:tcPr>
            <w:tcW w:w="3860" w:type="dxa"/>
            <w:tcBorders/>
            <w:vAlign w:val="bottom"/>
          </w:tcPr>
          <w:p>
            <w:pPr>
              <w:pStyle w:val="TableContents"/>
              <w:bidi w:val="0"/>
              <w:spacing w:lineRule="auto" w:line="240" w:before="0" w:after="0"/>
              <w:ind w:left="0" w:right="0" w:hanging="0"/>
              <w:jc w:val="left"/>
              <w:rPr>
                <w:rFonts w:cs="Arial"/>
                <w:color w:val="000000"/>
                <w:szCs w:val="20"/>
              </w:rPr>
            </w:pPr>
            <w:r>
              <w:rPr>
                <w:rFonts w:cs="Arial"/>
                <w:color w:val="000000"/>
                <w:szCs w:val="20"/>
              </w:rPr>
              <w:t>﻿</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8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Total assets</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2,907,914 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2,365,350 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Total loans receivable</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2,262,813 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1,790,574 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Allowance for credit losses</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25,632 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20,908 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Total deposits</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color w:val="000000"/>
                <w:sz w:val="20"/>
              </w:rPr>
            </w:pPr>
            <w:r>
              <w:rPr>
                <w:rFonts w:ascii="Arial" w:hAnsi="Arial"/>
                <w:b/>
                <w:color w:val="000000"/>
                <w:sz w:val="20"/>
              </w:rPr>
              <w:t xml:space="preserve">2514297 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1,997,834 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Stockholders' equity</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289,640 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225,425 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Trust assets under management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242,164 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207,402  </w:t>
            </w:r>
          </w:p>
        </w:tc>
      </w:tr>
      <w:tr>
        <w:trPr/>
        <w:tc>
          <w:tcPr>
            <w:tcW w:w="3860" w:type="dxa"/>
            <w:tcBorders/>
            <w:vAlign w:val="bottom"/>
          </w:tcPr>
          <w:p>
            <w:pPr>
              <w:pStyle w:val="TableContents"/>
              <w:bidi w:val="0"/>
              <w:spacing w:lineRule="auto" w:line="240" w:before="0" w:after="0"/>
              <w:ind w:left="0" w:right="0" w:hanging="0"/>
              <w:jc w:val="left"/>
              <w:rPr>
                <w:rFonts w:cs="Arial"/>
                <w:szCs w:val="20"/>
              </w:rPr>
            </w:pPr>
            <w:r>
              <w:rPr>
                <w:rFonts w:cs="Arial"/>
                <w:szCs w:val="20"/>
              </w:rPr>
              <w:t>﻿</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Book value per share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26.59  </w:t>
            </w:r>
          </w:p>
        </w:tc>
        <w:tc>
          <w:tcPr>
            <w:tcW w:w="185"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24.34  </w:t>
            </w:r>
          </w:p>
        </w:tc>
      </w:tr>
      <w:tr>
        <w:trPr/>
        <w:tc>
          <w:tcPr>
            <w:tcW w:w="3860" w:type="dxa"/>
            <w:tcBorders/>
            <w:vAlign w:val="bottom"/>
          </w:tcPr>
          <w:p>
            <w:pPr>
              <w:pStyle w:val="TableContents"/>
              <w:bidi w:val="0"/>
              <w:spacing w:lineRule="auto" w:line="240" w:before="0" w:after="0"/>
              <w:ind w:left="0" w:right="0" w:hanging="0"/>
              <w:jc w:val="left"/>
              <w:rPr>
                <w:rFonts w:ascii="Arial" w:hAnsi="Arial"/>
                <w:sz w:val="20"/>
              </w:rPr>
            </w:pPr>
            <w:r>
              <w:rPr>
                <w:rFonts w:ascii="Arial" w:hAnsi="Arial"/>
                <w:sz w:val="20"/>
              </w:rPr>
              <w:t xml:space="preserve">Tangible book value per share </w:t>
            </w:r>
          </w:p>
        </w:tc>
        <w:tc>
          <w:tcPr>
            <w:tcW w:w="185"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22.96  </w:t>
            </w:r>
          </w:p>
        </w:tc>
        <w:tc>
          <w:tcPr>
            <w:tcW w:w="185"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20"/>
              </w:rPr>
              <w:t>$</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21.17 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Equity to total assets</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9.96%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9.53%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Allowance to total loans receivable</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1.13%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1.17%  </w:t>
            </w:r>
          </w:p>
        </w:tc>
      </w:tr>
      <w:tr>
        <w:trPr/>
        <w:tc>
          <w:tcPr>
            <w:tcW w:w="3860" w:type="dxa"/>
            <w:tcBorders/>
            <w:shd w:fill="CCEEFF" w:val="clear"/>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Nonperforming loans to total loans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995" w:type="dxa"/>
            <w:tcBorders/>
            <w:shd w:fill="CCEEFF" w:val="clear"/>
            <w:vAlign w:val="bottom"/>
          </w:tcPr>
          <w:p>
            <w:pPr>
              <w:pStyle w:val="TableContents"/>
              <w:bidi w:val="0"/>
              <w:spacing w:before="0" w:after="283"/>
              <w:jc w:val="right"/>
              <w:rPr>
                <w:rFonts w:ascii="Arial" w:hAnsi="Arial"/>
                <w:b/>
                <w:sz w:val="20"/>
              </w:rPr>
            </w:pPr>
            <w:r>
              <w:rPr>
                <w:rFonts w:ascii="Arial" w:hAnsi="Arial"/>
                <w:b/>
                <w:sz w:val="20"/>
              </w:rPr>
              <w:t xml:space="preserve">1.21%  </w:t>
            </w:r>
          </w:p>
        </w:tc>
        <w:tc>
          <w:tcPr>
            <w:tcW w:w="185" w:type="dxa"/>
            <w:tcBorders/>
            <w:shd w:fill="CCEEFF" w:val="clear"/>
            <w:vAlign w:val="bottom"/>
          </w:tcPr>
          <w:p>
            <w:pPr>
              <w:pStyle w:val="TableContents"/>
              <w:bidi w:val="0"/>
              <w:spacing w:lineRule="auto" w:line="240"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Arial" w:hAnsi="Arial"/>
                <w:sz w:val="20"/>
              </w:rPr>
            </w:pPr>
            <w:r>
              <w:rPr>
                <w:rFonts w:ascii="Arial" w:hAnsi="Arial"/>
                <w:sz w:val="20"/>
              </w:rPr>
              <w:t xml:space="preserve">0.45%  </w:t>
            </w:r>
          </w:p>
        </w:tc>
      </w:tr>
      <w:tr>
        <w:trPr/>
        <w:tc>
          <w:tcPr>
            <w:tcW w:w="3860" w:type="dxa"/>
            <w:tcBorders/>
            <w:vAlign w:val="bottom"/>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Nonperforming assets to total assets</w:t>
            </w:r>
          </w:p>
        </w:tc>
        <w:tc>
          <w:tcPr>
            <w:tcW w:w="185"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before="0" w:after="283"/>
              <w:jc w:val="right"/>
              <w:rPr>
                <w:rFonts w:ascii="Arial" w:hAnsi="Arial"/>
                <w:b/>
                <w:sz w:val="20"/>
              </w:rPr>
            </w:pPr>
            <w:r>
              <w:rPr>
                <w:rFonts w:ascii="Arial" w:hAnsi="Arial"/>
                <w:b/>
                <w:sz w:val="20"/>
              </w:rPr>
              <w:t xml:space="preserve">0.97%  </w:t>
            </w:r>
          </w:p>
        </w:tc>
        <w:tc>
          <w:tcPr>
            <w:tcW w:w="18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Arial" w:hAnsi="Arial"/>
                <w:sz w:val="20"/>
              </w:rPr>
            </w:pPr>
            <w:r>
              <w:rPr>
                <w:rFonts w:ascii="Arial" w:hAnsi="Arial"/>
                <w:sz w:val="20"/>
              </w:rPr>
              <w:t xml:space="preserve">0.34%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2921"/>
        <w:gridCol w:w="140"/>
        <w:gridCol w:w="797"/>
        <w:gridCol w:w="140"/>
        <w:gridCol w:w="917"/>
        <w:gridCol w:w="140"/>
        <w:gridCol w:w="1277"/>
        <w:gridCol w:w="140"/>
        <w:gridCol w:w="1337"/>
        <w:gridCol w:w="140"/>
        <w:gridCol w:w="816"/>
      </w:tblGrid>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NORWOOD FINANCIAL CORP</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Consolidated Balance Sheets (unaudited)</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(dollars in thousands)</w:t>
            </w:r>
          </w:p>
        </w:tc>
      </w:tr>
      <w:tr>
        <w:trPr/>
        <w:tc>
          <w:tcPr>
            <w:tcW w:w="2921" w:type="dxa"/>
            <w:tcBorders/>
            <w:vAlign w:val="bottom"/>
          </w:tcPr>
          <w:p>
            <w:pPr>
              <w:pStyle w:val="TableContents"/>
              <w:bidi w:val="0"/>
              <w:spacing w:lineRule="auto" w:line="240" w:before="0" w:after="0"/>
              <w:ind w:left="0" w:right="0" w:hanging="0"/>
              <w:jc w:val="left"/>
              <w:rPr>
                <w:rFonts w:cs="Arial"/>
                <w:bCs/>
                <w:szCs w:val="10"/>
              </w:rPr>
            </w:pPr>
            <w:r>
              <w:rPr>
                <w:rFonts w:cs="Arial"/>
                <w:bCs/>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center"/>
              <w:rPr/>
            </w:pPr>
            <w:r>
              <w:rPr/>
              <w:t>  </w:t>
            </w:r>
            <w:r>
              <w:rPr>
                <w:rFonts w:ascii="Arial" w:hAnsi="Arial"/>
                <w:sz w:val="10"/>
              </w:rPr>
              <w:t>June 30</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center"/>
              <w:rPr/>
            </w:pPr>
            <w:r>
              <w:rPr/>
              <w:t>  </w:t>
            </w:r>
            <w:r>
              <w:rPr>
                <w:rFonts w:ascii="Arial" w:hAnsi="Arial"/>
                <w:sz w:val="10"/>
              </w:rPr>
              <w:t>March 31</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center"/>
              <w:rPr/>
            </w:pPr>
            <w:r>
              <w:rPr/>
              <w:t>  </w:t>
            </w:r>
            <w:r>
              <w:rPr>
                <w:rFonts w:ascii="Arial" w:hAnsi="Arial"/>
                <w:sz w:val="10"/>
              </w:rPr>
              <w:t>December 31</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center"/>
              <w:rPr/>
            </w:pPr>
            <w:r>
              <w:rPr/>
              <w:t>  </w:t>
            </w:r>
            <w:r>
              <w:rPr>
                <w:rFonts w:ascii="Arial" w:hAnsi="Arial"/>
                <w:sz w:val="10"/>
              </w:rPr>
              <w:t>September 30</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center"/>
              <w:rPr/>
            </w:pPr>
            <w:r>
              <w:rPr/>
              <w:t>  </w:t>
            </w:r>
            <w:r>
              <w:rPr>
                <w:rFonts w:ascii="Arial" w:hAnsi="Arial"/>
                <w:sz w:val="10"/>
              </w:rPr>
              <w:t>June 30</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2026</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2026</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ASSETS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Cash and due from banks</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30,902 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25,480 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32,118 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50,348 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32,052 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Interest-bearing deposits with banks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29,387 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75,258 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12,318 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24,382 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20,993  </w:t>
            </w:r>
          </w:p>
        </w:tc>
      </w:tr>
      <w:tr>
        <w:trPr/>
        <w:tc>
          <w:tcPr>
            <w:tcW w:w="2921"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0"/>
              </w:rPr>
              <w:t>Fed funds sold</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1,835 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Cash and cash equivalents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60,289 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102,573 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44,436 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74,730 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53,045 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Securities available for sale</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438,967 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431,204 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408,782 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403,989 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402,460  </w:t>
            </w:r>
          </w:p>
        </w:tc>
      </w:tr>
      <w:tr>
        <w:trPr/>
        <w:tc>
          <w:tcPr>
            <w:tcW w:w="2921" w:type="dxa"/>
            <w:tcBorders/>
            <w:vAlign w:val="bottom"/>
          </w:tcPr>
          <w:p>
            <w:pPr>
              <w:pStyle w:val="TableContents"/>
              <w:bidi w:val="0"/>
              <w:spacing w:lineRule="auto" w:line="240" w:before="0" w:after="0"/>
              <w:ind w:left="0" w:right="0" w:hanging="0"/>
              <w:jc w:val="left"/>
              <w:rPr/>
            </w:pPr>
            <w:r>
              <w:rPr/>
              <w:t> </w:t>
            </w:r>
            <w:r>
              <w:rPr>
                <w:rFonts w:ascii="Arial" w:hAnsi="Arial"/>
                <w:sz w:val="10"/>
              </w:rPr>
              <w:t xml:space="preserve">Loans receivable </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2,262,813 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2,238,657 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1,853,422 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1,814,682 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1,790,574 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Less: Allowance for credit losses</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25,632 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24,350 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19,882 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19,911 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20,908 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Net loans receivable</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2,237,181 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2,214,307 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1,833,540 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1,794,771 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1,769,666 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Regulatory stock, at cost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6,399 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7,161 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6,623 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6,163 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7,538  </w:t>
            </w:r>
          </w:p>
        </w:tc>
      </w:tr>
      <w:tr>
        <w:trPr/>
        <w:tc>
          <w:tcPr>
            <w:tcW w:w="2921" w:type="dxa"/>
            <w:tcBorders/>
            <w:vAlign w:val="bottom"/>
          </w:tcPr>
          <w:p>
            <w:pPr>
              <w:pStyle w:val="TableContents"/>
              <w:bidi w:val="0"/>
              <w:spacing w:lineRule="auto" w:line="240" w:before="0" w:after="0"/>
              <w:ind w:left="0" w:right="0" w:hanging="0"/>
              <w:jc w:val="left"/>
              <w:rPr/>
            </w:pPr>
            <w:r>
              <w:rPr/>
              <w:t> </w:t>
            </w:r>
            <w:r>
              <w:rPr>
                <w:rFonts w:ascii="Arial" w:hAnsi="Arial"/>
                <w:sz w:val="10"/>
              </w:rPr>
              <w:t>Bank owned life insurance</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55,404 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55,078 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46,089 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45,821 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46,099 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Bank premises and equipment, net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25,262 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25,299 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22,971 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22,292 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21,608 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Foreclosed real estate owned</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771 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771 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771 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r>
              <w:rPr>
                <w:rFonts w:ascii="Arial" w:hAnsi="Arial"/>
                <w:sz w:val="10"/>
              </w:rPr>
              <w:t xml:space="preserve">-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Goodwill and other intangibles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39,528 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39,693 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29,364 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29,375 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29,387 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Other assets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44,113 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41,168 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32,266 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34,810 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35,547 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ASSETS</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2,907,914 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2,917,254 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2,424,842 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2,411,951 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2,365,350 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LIABILITIES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Deposits: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 xml:space="preserve">Non-interest bearing demand </w:t>
            </w:r>
          </w:p>
        </w:tc>
        <w:tc>
          <w:tcPr>
            <w:tcW w:w="140"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500,383  </w:t>
            </w:r>
          </w:p>
        </w:tc>
        <w:tc>
          <w:tcPr>
            <w:tcW w:w="140"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470,706  </w:t>
            </w:r>
          </w:p>
        </w:tc>
        <w:tc>
          <w:tcPr>
            <w:tcW w:w="140"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419,597  </w:t>
            </w:r>
          </w:p>
        </w:tc>
        <w:tc>
          <w:tcPr>
            <w:tcW w:w="140"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424,027  </w:t>
            </w:r>
          </w:p>
        </w:tc>
        <w:tc>
          <w:tcPr>
            <w:tcW w:w="140"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406,358 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Interest-bearing deposits</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2,013,914 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2,035,992 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1,659,048 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1,649,941 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1,591,476 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deposits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2,514,297 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2,506,698 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2,078,645 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2,073,968 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1,997,834 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Borrowings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65,513 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88,268 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74,133 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72,071 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111,850 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Other liabilities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38,464 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38,350 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29,907 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31,007 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30,241 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LIABILITIES</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2,618,274 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2,633,316 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2,182,685 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2,177,046 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2,139,925 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STOCKHOLDERS' EQUITY</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289,640 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283,938 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242,157 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234,905 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225,425 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LIABILITIES AND</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STOCKHOLDERS' EQUITY</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2,907,914 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2,917,254 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2,424,842 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2,411,951 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2,365,350 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NORWOOD FINANCIAL CORP</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Consolidated Statements of Income (unaudited)</w:t>
            </w:r>
          </w:p>
        </w:tc>
      </w:tr>
      <w:tr>
        <w:trPr/>
        <w:tc>
          <w:tcPr>
            <w:tcW w:w="8765" w:type="dxa"/>
            <w:gridSpan w:val="11"/>
            <w:tcBorders/>
            <w:vAlign w:val="bottom"/>
          </w:tcPr>
          <w:p>
            <w:pPr>
              <w:pStyle w:val="TableContents"/>
              <w:bidi w:val="0"/>
              <w:spacing w:lineRule="auto" w:line="240" w:before="0" w:after="0"/>
              <w:ind w:left="0" w:right="0" w:hanging="0"/>
              <w:jc w:val="left"/>
              <w:rPr>
                <w:rFonts w:ascii="Arial" w:hAnsi="Arial"/>
                <w:b/>
                <w:sz w:val="10"/>
              </w:rPr>
            </w:pPr>
            <w:r>
              <w:rPr>
                <w:rFonts w:ascii="Arial" w:hAnsi="Arial"/>
                <w:b/>
                <w:sz w:val="10"/>
              </w:rPr>
              <w:t>(dollars in thousands, except per share data)</w:t>
            </w:r>
          </w:p>
        </w:tc>
      </w:tr>
      <w:tr>
        <w:trPr/>
        <w:tc>
          <w:tcPr>
            <w:tcW w:w="2921" w:type="dxa"/>
            <w:tcBorders/>
            <w:vAlign w:val="bottom"/>
          </w:tcPr>
          <w:p>
            <w:pPr>
              <w:pStyle w:val="TableContents"/>
              <w:bidi w:val="0"/>
              <w:spacing w:lineRule="auto" w:line="240" w:before="0" w:after="0"/>
              <w:ind w:left="0" w:right="0" w:hanging="0"/>
              <w:jc w:val="left"/>
              <w:rPr>
                <w:rFonts w:cs="Arial"/>
                <w:bCs/>
                <w:szCs w:val="10"/>
              </w:rPr>
            </w:pPr>
            <w:r>
              <w:rPr>
                <w:rFonts w:cs="Arial"/>
                <w:bCs/>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center"/>
              <w:rPr/>
            </w:pPr>
            <w:r>
              <w:rPr/>
              <w:t>  </w:t>
            </w:r>
            <w:r>
              <w:rPr>
                <w:rFonts w:ascii="Arial" w:hAnsi="Arial"/>
                <w:sz w:val="10"/>
              </w:rPr>
              <w:t>June 30</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center"/>
              <w:rPr/>
            </w:pPr>
            <w:r>
              <w:rPr/>
              <w:t>  </w:t>
            </w:r>
            <w:r>
              <w:rPr>
                <w:rFonts w:ascii="Arial" w:hAnsi="Arial"/>
                <w:sz w:val="10"/>
              </w:rPr>
              <w:t>March 31</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center"/>
              <w:rPr/>
            </w:pPr>
            <w:r>
              <w:rPr/>
              <w:t>  </w:t>
            </w:r>
            <w:r>
              <w:rPr>
                <w:rFonts w:ascii="Arial" w:hAnsi="Arial"/>
                <w:sz w:val="10"/>
              </w:rPr>
              <w:t>December 31</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center"/>
              <w:rPr/>
            </w:pPr>
            <w:r>
              <w:rPr/>
              <w:t>  </w:t>
            </w:r>
            <w:r>
              <w:rPr>
                <w:rFonts w:ascii="Arial" w:hAnsi="Arial"/>
                <w:sz w:val="10"/>
              </w:rPr>
              <w:t>September 30</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center"/>
              <w:rPr/>
            </w:pPr>
            <w:r>
              <w:rPr/>
              <w:t>  </w:t>
            </w:r>
            <w:r>
              <w:rPr>
                <w:rFonts w:ascii="Arial" w:hAnsi="Arial"/>
                <w:sz w:val="10"/>
              </w:rPr>
              <w:t>June 30</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Three months ended</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2026</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2026</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Arial" w:hAnsi="Arial"/>
                <w:sz w:val="10"/>
              </w:rPr>
            </w:pPr>
            <w:r>
              <w:rPr>
                <w:rFonts w:ascii="Arial" w:hAnsi="Arial"/>
                <w:sz w:val="10"/>
              </w:rPr>
              <w:t>2025</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INTEREST INCOME</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Loans receivable, including fees</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35,585 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33,873 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28,666 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28,141  </w:t>
            </w:r>
          </w:p>
        </w:tc>
        <w:tc>
          <w:tcPr>
            <w:tcW w:w="140"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27,115 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Securities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4,495 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4,110 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3,906 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3,907 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3,871 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Other</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377 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400 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474 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144 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220  </w:t>
            </w:r>
          </w:p>
        </w:tc>
      </w:tr>
      <w:tr>
        <w:trPr/>
        <w:tc>
          <w:tcPr>
            <w:tcW w:w="2921" w:type="dxa"/>
            <w:tcBorders/>
            <w:vAlign w:val="bottom"/>
          </w:tcPr>
          <w:p>
            <w:pPr>
              <w:pStyle w:val="TableContents"/>
              <w:bidi w:val="0"/>
              <w:spacing w:lineRule="auto" w:line="240" w:before="0" w:after="0"/>
              <w:ind w:left="0" w:right="0" w:hanging="0"/>
              <w:jc w:val="left"/>
              <w:rPr/>
            </w:pPr>
            <w:r>
              <w:rPr/>
              <w:t>        </w:t>
            </w:r>
            <w:r>
              <w:rPr>
                <w:rFonts w:ascii="Arial" w:hAnsi="Arial"/>
                <w:sz w:val="10"/>
              </w:rPr>
              <w:t>Total interest income</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40,457 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38,383 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33,046 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32,192 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31,206  </w:t>
            </w:r>
          </w:p>
        </w:tc>
      </w:tr>
      <w:tr>
        <w:trPr/>
        <w:tc>
          <w:tcPr>
            <w:tcW w:w="2921" w:type="dxa"/>
            <w:tcBorders/>
            <w:shd w:fill="CCEEFF" w:val="clear"/>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lineRule="auto" w:line="240" w:before="0" w:after="0"/>
              <w:ind w:left="0" w:right="0" w:hanging="0"/>
              <w:jc w:val="lef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lineRule="auto" w:line="240" w:before="0" w:after="0"/>
              <w:ind w:left="0" w:right="0" w:hanging="0"/>
              <w:jc w:val="lef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INTEREST EXPENSE</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lef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Deposits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12,899 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12,787 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11,334 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10,730 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10,869 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Borrowings</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719 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1,042 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768 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1,004 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1,272  </w:t>
            </w:r>
          </w:p>
        </w:tc>
      </w:tr>
      <w:tr>
        <w:trPr/>
        <w:tc>
          <w:tcPr>
            <w:tcW w:w="2921"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0"/>
              </w:rPr>
              <w:t>Total interest expense</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13,618  </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13,829  </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12,102  </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11,734  </w:t>
            </w:r>
          </w:p>
        </w:tc>
        <w:tc>
          <w:tcPr>
            <w:tcW w:w="14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12,141 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NET INTEREST INCOME</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26,839 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24,554 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20,944 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20,458 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19,065 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PROVISION FOR (RELEASE OF) CREDIT LOSSES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1,944 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1,459 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468 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(502)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950 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NET INTEREST INCOME AFTER (RELEASE OF) PROVISION</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FOR CREDIT LOSSES</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24,895 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23,095 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20,476 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20,960 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18,115 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OTHER INCOME</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lineRule="auto" w:line="240" w:before="0" w:after="0"/>
              <w:ind w:left="0" w:right="0" w:hanging="0"/>
              <w:jc w:val="righ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lineRule="auto" w:line="240" w:before="0" w:after="0"/>
              <w:ind w:left="0" w:right="0" w:hanging="0"/>
              <w:jc w:val="righ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lineRule="auto" w:line="240" w:before="0" w:after="0"/>
              <w:ind w:left="0" w:right="0" w:hanging="0"/>
              <w:jc w:val="righ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lineRule="auto" w:line="240" w:before="0" w:after="0"/>
              <w:ind w:left="0" w:right="0" w:hanging="0"/>
              <w:jc w:val="right"/>
              <w:rPr/>
            </w:pPr>
            <w:r>
              <w:rPr/>
              <w:t>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lineRule="auto" w:line="240" w:before="0" w:after="0"/>
              <w:ind w:left="0" w:right="0" w:hanging="0"/>
              <w:jc w:val="right"/>
              <w:rPr/>
            </w:pPr>
            <w:r>
              <w:rPr/>
              <w:t>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Service charges and fees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1,666 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1,755 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1,734 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1,660 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1,514 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Income from fiduciary activities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248 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238 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254 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226 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Net realized (losses) gains on sales of securities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r>
      <w:tr>
        <w:trPr/>
        <w:tc>
          <w:tcPr>
            <w:tcW w:w="2921"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0"/>
              </w:rPr>
              <w:t>Gains on sales of loans, net</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54 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83 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130 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65  </w:t>
            </w:r>
          </w:p>
        </w:tc>
      </w:tr>
      <w:tr>
        <w:trPr/>
        <w:tc>
          <w:tcPr>
            <w:tcW w:w="2921" w:type="dxa"/>
            <w:tcBorders/>
            <w:vAlign w:val="bottom"/>
          </w:tcPr>
          <w:p>
            <w:pPr>
              <w:pStyle w:val="TableContents"/>
              <w:bidi w:val="0"/>
              <w:spacing w:lineRule="auto" w:line="240" w:before="0" w:after="0"/>
              <w:ind w:left="0" w:right="0" w:hanging="0"/>
              <w:jc w:val="left"/>
              <w:rPr/>
            </w:pPr>
            <w:r>
              <w:rPr/>
              <w:t>   </w:t>
            </w:r>
            <w:r>
              <w:rPr>
                <w:rFonts w:ascii="Arial" w:hAnsi="Arial"/>
                <w:sz w:val="10"/>
              </w:rPr>
              <w:t>Gains on sales of foreclosed real estate owned</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r>
      <w:tr>
        <w:trPr/>
        <w:tc>
          <w:tcPr>
            <w:tcW w:w="2921" w:type="dxa"/>
            <w:tcBorders/>
            <w:shd w:fill="CCEEFF" w:val="clear"/>
            <w:vAlign w:val="bottom"/>
          </w:tcPr>
          <w:p>
            <w:pPr>
              <w:pStyle w:val="TableContents"/>
              <w:bidi w:val="0"/>
              <w:spacing w:lineRule="auto" w:line="240" w:before="0" w:after="0"/>
              <w:ind w:left="0" w:right="0" w:hanging="0"/>
              <w:jc w:val="left"/>
              <w:rPr/>
            </w:pPr>
            <w:r>
              <w:rPr/>
              <w:t>   </w:t>
            </w:r>
            <w:r>
              <w:rPr>
                <w:rFonts w:ascii="Arial" w:hAnsi="Arial"/>
                <w:sz w:val="10"/>
              </w:rPr>
              <w:t>Earnings and proceeds on life insurance policies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326 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314 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268 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268 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266  </w:t>
            </w:r>
          </w:p>
        </w:tc>
      </w:tr>
      <w:tr>
        <w:trPr/>
        <w:tc>
          <w:tcPr>
            <w:tcW w:w="2921" w:type="dxa"/>
            <w:tcBorders/>
            <w:vAlign w:val="bottom"/>
          </w:tcPr>
          <w:p>
            <w:pPr>
              <w:pStyle w:val="TableContents"/>
              <w:bidi w:val="0"/>
              <w:spacing w:lineRule="auto" w:line="240" w:before="0" w:after="0"/>
              <w:ind w:left="0" w:right="0" w:hanging="0"/>
              <w:jc w:val="left"/>
              <w:rPr/>
            </w:pPr>
            <w:r>
              <w:rPr/>
              <w:t>   </w:t>
            </w:r>
            <w:r>
              <w:rPr>
                <w:rFonts w:ascii="Arial" w:hAnsi="Arial"/>
                <w:sz w:val="10"/>
              </w:rPr>
              <w:t xml:space="preserve">Other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232 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332 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198 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193 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177 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other income</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2,526 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2,715 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2,511 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2,505  </w:t>
            </w:r>
          </w:p>
        </w:tc>
        <w:tc>
          <w:tcPr>
            <w:tcW w:w="1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shd w:fill="CCEEFF" w:val="clear"/>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2,248 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OTHER EXPENSES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Salaries and  employee benefits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8,674 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8,549 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7,155 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6,696 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6,605 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Occupancy, furniture and equipment, net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1,569 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1,725 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1,390 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1,361 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2,538 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 xml:space="preserve">Foreclosed real estate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lineRule="auto" w:line="240" w:before="0" w:after="0"/>
              <w:ind w:left="0" w:right="0" w:hanging="0"/>
              <w:jc w:val="right"/>
              <w:rPr/>
            </w:pPr>
            <w:r>
              <w:rPr/>
              <w:t>                    </w:t>
            </w:r>
            <w:r>
              <w:rPr>
                <w:rFonts w:ascii="Arial" w:hAnsi="Arial"/>
                <w:sz w:val="10"/>
              </w:rPr>
              <w:t xml:space="preserve">-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137 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FDIC insurance assessment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428 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507 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423 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368 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355  </w:t>
            </w:r>
          </w:p>
        </w:tc>
      </w:tr>
      <w:tr>
        <w:trPr/>
        <w:tc>
          <w:tcPr>
            <w:tcW w:w="2921" w:type="dxa"/>
            <w:tcBorders/>
            <w:shd w:fill="CCEEFF" w:val="cle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 xml:space="preserve">Other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5,090 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10,173 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4,651 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4,508  </w:t>
            </w:r>
          </w:p>
        </w:tc>
        <w:tc>
          <w:tcPr>
            <w:tcW w:w="14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2,896  </w:t>
            </w:r>
          </w:p>
        </w:tc>
      </w:tr>
      <w:tr>
        <w:trPr/>
        <w:tc>
          <w:tcPr>
            <w:tcW w:w="2921" w:type="dxa"/>
            <w:tcBorders/>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Total other expenses</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15,792 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20,990 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13,619 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12,934 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single" w:sz="8" w:space="0" w:color="000000"/>
            </w:tcBorders>
            <w:tcMar>
              <w:top w:w="28" w:type="dxa"/>
            </w:tcMar>
            <w:vAlign w:val="bottom"/>
          </w:tcPr>
          <w:p>
            <w:pPr>
              <w:pStyle w:val="TableContents"/>
              <w:bidi w:val="0"/>
              <w:spacing w:before="0" w:after="283"/>
              <w:jc w:val="right"/>
              <w:rPr>
                <w:rFonts w:ascii="Arial" w:hAnsi="Arial"/>
                <w:sz w:val="10"/>
              </w:rPr>
            </w:pPr>
            <w:r>
              <w:rPr>
                <w:rFonts w:ascii="Arial" w:hAnsi="Arial"/>
                <w:sz w:val="10"/>
              </w:rPr>
              <w:t xml:space="preserve">12,531 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INCOME BEFORE TAX (BENEFIT) EXPENSE</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11,629 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4,820 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9,368 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10,531 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7,832 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 xml:space="preserve">INCOME TAX (BENEFIT) EXPENSE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2,301 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1,090 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1,926 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37"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2,197 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6" w:type="dxa"/>
            <w:tcBorders>
              <w:bottom w:val="single" w:sz="8"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1,627 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NET (LOSS) INCOME</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9,328 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3,730 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7,442 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8,334  </w:t>
            </w:r>
          </w:p>
        </w:tc>
        <w:tc>
          <w:tcPr>
            <w:tcW w:w="140"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top w:val="single" w:sz="8" w:space="0" w:color="000000"/>
              <w:bottom w:val="double" w:sz="5" w:space="0" w:color="000000"/>
            </w:tcBorders>
            <w:shd w:fill="CCEEFF" w:val="clear"/>
            <w:tcMar>
              <w:top w:w="28" w:type="dxa"/>
              <w:bottom w:w="28" w:type="dxa"/>
            </w:tcMar>
            <w:vAlign w:val="bottom"/>
          </w:tcPr>
          <w:p>
            <w:pPr>
              <w:pStyle w:val="TableContents"/>
              <w:bidi w:val="0"/>
              <w:spacing w:before="0" w:after="283"/>
              <w:jc w:val="right"/>
              <w:rPr>
                <w:rFonts w:ascii="Arial" w:hAnsi="Arial"/>
                <w:sz w:val="10"/>
              </w:rPr>
            </w:pPr>
            <w:r>
              <w:rPr>
                <w:rFonts w:ascii="Arial" w:hAnsi="Arial"/>
                <w:sz w:val="10"/>
              </w:rPr>
              <w:t xml:space="preserve">6,205 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 xml:space="preserve">Basic (loss) earnings per share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bottom w:val="double" w:sz="5"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0.86 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bottom w:val="double" w:sz="5"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0.35 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bottom w:val="double" w:sz="5"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0.81 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bottom w:val="double" w:sz="5"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0.89  </w:t>
            </w:r>
          </w:p>
        </w:tc>
        <w:tc>
          <w:tcPr>
            <w:tcW w:w="1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bottom w:val="double" w:sz="5" w:space="0" w:color="000000"/>
            </w:tcBorders>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0.67  </w:t>
            </w:r>
          </w:p>
        </w:tc>
      </w:tr>
      <w:tr>
        <w:trPr/>
        <w:tc>
          <w:tcPr>
            <w:tcW w:w="2921"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 xml:space="preserve">Diluted (loss) earnings per share  </w:t>
            </w:r>
          </w:p>
        </w:tc>
        <w:tc>
          <w:tcPr>
            <w:tcW w:w="140"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797"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0.86  </w:t>
            </w:r>
          </w:p>
        </w:tc>
        <w:tc>
          <w:tcPr>
            <w:tcW w:w="140"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917"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0.35  </w:t>
            </w:r>
          </w:p>
        </w:tc>
        <w:tc>
          <w:tcPr>
            <w:tcW w:w="140"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277"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0.81  </w:t>
            </w:r>
          </w:p>
        </w:tc>
        <w:tc>
          <w:tcPr>
            <w:tcW w:w="140"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1337"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0.89  </w:t>
            </w:r>
          </w:p>
        </w:tc>
        <w:tc>
          <w:tcPr>
            <w:tcW w:w="140" w:type="dxa"/>
            <w:tcBorders>
              <w:bottom w:val="double" w:sz="5" w:space="0" w:color="000000"/>
            </w:tcBorders>
            <w:shd w:fill="CCEEFF" w:val="clear"/>
            <w:tcMar>
              <w:bottom w:w="28" w:type="dxa"/>
            </w:tcMar>
            <w:vAlign w:val="bottom"/>
          </w:tcPr>
          <w:p>
            <w:pPr>
              <w:pStyle w:val="TableContents"/>
              <w:bidi w:val="0"/>
              <w:spacing w:lineRule="auto" w:line="240" w:before="0" w:after="0"/>
              <w:ind w:left="0" w:right="0" w:hanging="0"/>
              <w:jc w:val="left"/>
              <w:rPr>
                <w:color w:val="000000"/>
              </w:rPr>
            </w:pPr>
            <w:r>
              <w:rPr>
                <w:color w:val="000000"/>
              </w:rPr>
              <w:t> </w:t>
            </w:r>
            <w:r>
              <w:rPr>
                <w:rFonts w:ascii="Arial" w:hAnsi="Arial"/>
                <w:color w:val="000000"/>
                <w:sz w:val="10"/>
              </w:rPr>
              <w:t>$</w:t>
            </w:r>
          </w:p>
        </w:tc>
        <w:tc>
          <w:tcPr>
            <w:tcW w:w="816" w:type="dxa"/>
            <w:tcBorders>
              <w:bottom w:val="double" w:sz="5" w:space="0" w:color="000000"/>
            </w:tcBorders>
            <w:shd w:fill="CCEEFF" w:val="clear"/>
            <w:tcMar>
              <w:bottom w:w="28" w:type="dxa"/>
            </w:tcMar>
            <w:vAlign w:val="bottom"/>
          </w:tcPr>
          <w:p>
            <w:pPr>
              <w:pStyle w:val="TableContents"/>
              <w:bidi w:val="0"/>
              <w:spacing w:before="0" w:after="283"/>
              <w:jc w:val="right"/>
              <w:rPr>
                <w:rFonts w:ascii="Arial" w:hAnsi="Arial"/>
                <w:sz w:val="10"/>
              </w:rPr>
            </w:pPr>
            <w:r>
              <w:rPr>
                <w:rFonts w:ascii="Arial" w:hAnsi="Arial"/>
                <w:sz w:val="10"/>
              </w:rPr>
              <w:t xml:space="preserve">0.67 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9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37"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6" w:type="dxa"/>
            <w:tcBorders>
              <w:top w:val="double" w:sz="5"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 xml:space="preserve">Book Value per share  </w:t>
            </w:r>
          </w:p>
        </w:tc>
        <w:tc>
          <w:tcPr>
            <w:tcW w:w="140"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26.59  </w:t>
            </w:r>
          </w:p>
        </w:tc>
        <w:tc>
          <w:tcPr>
            <w:tcW w:w="140"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26.07  </w:t>
            </w:r>
          </w:p>
        </w:tc>
        <w:tc>
          <w:tcPr>
            <w:tcW w:w="140"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26.06  </w:t>
            </w:r>
          </w:p>
        </w:tc>
        <w:tc>
          <w:tcPr>
            <w:tcW w:w="140"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25.36  </w:t>
            </w:r>
          </w:p>
        </w:tc>
        <w:tc>
          <w:tcPr>
            <w:tcW w:w="140"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24.34 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Tangible Book Value per share</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22.96 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22.43 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22.90 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22.19 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21.17 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Return on average assets (annualized)</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1.28%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0.53%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1.21%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1.40%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1.06%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Return on average equity (annualized)</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12.98%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5.22%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12.30%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14.58%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11.14%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Return on average tangible equity (annualized)</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15.04%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6.04%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14.01%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16.76%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12.83%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Net interest spread (fte)</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3.27%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3.04%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2.93%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2.94%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2.75%  </w:t>
            </w:r>
          </w:p>
        </w:tc>
      </w:tr>
      <w:tr>
        <w:trPr/>
        <w:tc>
          <w:tcPr>
            <w:tcW w:w="2921" w:type="dxa"/>
            <w:tcBorders/>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Net interest margin (fte)</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3.90%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3.68%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3.60%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3.63%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3.43%  </w:t>
            </w:r>
          </w:p>
        </w:tc>
      </w:tr>
      <w:tr>
        <w:trPr/>
        <w:tc>
          <w:tcPr>
            <w:tcW w:w="2921" w:type="dxa"/>
            <w:tcBorders/>
            <w:vAlign w:val="bottom"/>
          </w:tcPr>
          <w:p>
            <w:pPr>
              <w:pStyle w:val="TableContents"/>
              <w:bidi w:val="0"/>
              <w:spacing w:lineRule="auto" w:line="240" w:before="0" w:after="0"/>
              <w:ind w:left="0" w:right="0" w:hanging="0"/>
              <w:jc w:val="left"/>
              <w:rPr>
                <w:rFonts w:cs="Arial"/>
                <w:szCs w:val="10"/>
              </w:rPr>
            </w:pPr>
            <w:r>
              <w:rPr>
                <w:rFonts w:cs="Arial"/>
                <w:szCs w:val="10"/>
              </w:rPr>
              <w:t>﻿</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lineRule="auto" w:line="240" w:before="0" w:after="0"/>
              <w:ind w:left="0" w:right="0" w:hanging="0"/>
              <w:jc w:val="righ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lineRule="auto" w:line="240" w:before="0" w:after="0"/>
              <w:ind w:left="0" w:right="0" w:hanging="0"/>
              <w:jc w:val="right"/>
              <w:rPr/>
            </w:pPr>
            <w:r>
              <w:rPr/>
              <w:t>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Allowance for credit losses to total loans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1.13%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1.09%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1.07%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1.10%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1.17%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Net charge-offs to average loans (annualized)</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0.24%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0.09%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0.13%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0.13%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0.08%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Nonperforming loans to total loans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1.21%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0.46%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0.34%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0.36%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0.45%  </w:t>
            </w:r>
          </w:p>
        </w:tc>
      </w:tr>
      <w:tr>
        <w:trPr/>
        <w:tc>
          <w:tcPr>
            <w:tcW w:w="2921" w:type="dxa"/>
            <w:tcBorders/>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Nonperforming assets to total assets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sz w:val="10"/>
              </w:rPr>
            </w:pPr>
            <w:r>
              <w:rPr>
                <w:rFonts w:ascii="Arial" w:hAnsi="Arial"/>
                <w:sz w:val="10"/>
              </w:rPr>
              <w:t xml:space="preserve">0.97%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sz w:val="10"/>
              </w:rPr>
            </w:pPr>
            <w:r>
              <w:rPr>
                <w:rFonts w:ascii="Arial" w:hAnsi="Arial"/>
                <w:sz w:val="10"/>
              </w:rPr>
              <w:t xml:space="preserve">0.38%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sz w:val="10"/>
              </w:rPr>
            </w:pPr>
            <w:r>
              <w:rPr>
                <w:rFonts w:ascii="Arial" w:hAnsi="Arial"/>
                <w:sz w:val="10"/>
              </w:rPr>
              <w:t xml:space="preserve">0.28%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sz w:val="10"/>
              </w:rPr>
            </w:pPr>
            <w:r>
              <w:rPr>
                <w:rFonts w:ascii="Arial" w:hAnsi="Arial"/>
                <w:sz w:val="10"/>
              </w:rPr>
              <w:t xml:space="preserve">0.31%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sz w:val="10"/>
              </w:rPr>
            </w:pPr>
            <w:r>
              <w:rPr>
                <w:rFonts w:ascii="Arial" w:hAnsi="Arial"/>
                <w:sz w:val="10"/>
              </w:rPr>
              <w:t xml:space="preserve">0.34%  </w:t>
            </w:r>
          </w:p>
        </w:tc>
      </w:tr>
      <w:tr>
        <w:trPr/>
        <w:tc>
          <w:tcPr>
            <w:tcW w:w="2921" w:type="dxa"/>
            <w:tcBorders/>
            <w:shd w:fill="CCEEFF" w:val="clear"/>
            <w:vAlign w:val="bottom"/>
          </w:tcPr>
          <w:p>
            <w:pPr>
              <w:pStyle w:val="TableContents"/>
              <w:bidi w:val="0"/>
              <w:spacing w:lineRule="auto" w:line="240" w:before="0" w:after="0"/>
              <w:ind w:left="0" w:right="0" w:hanging="0"/>
              <w:jc w:val="left"/>
              <w:rPr>
                <w:rFonts w:ascii="Arial" w:hAnsi="Arial"/>
                <w:color w:val="000000"/>
                <w:sz w:val="10"/>
              </w:rPr>
            </w:pPr>
            <w:r>
              <w:rPr>
                <w:rFonts w:ascii="Arial" w:hAnsi="Arial"/>
                <w:color w:val="000000"/>
                <w:sz w:val="10"/>
              </w:rPr>
              <w:t>Nonperforming loans to total assets</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79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0.94%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91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0.35%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27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0.26%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1337"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0.27%  </w:t>
            </w:r>
          </w:p>
        </w:tc>
        <w:tc>
          <w:tcPr>
            <w:tcW w:w="140" w:type="dxa"/>
            <w:tcBorders/>
            <w:shd w:fill="CCEEFF" w:val="clear"/>
            <w:vAlign w:val="bottom"/>
          </w:tcPr>
          <w:p>
            <w:pPr>
              <w:pStyle w:val="TableContents"/>
              <w:bidi w:val="0"/>
              <w:spacing w:lineRule="auto" w:line="240" w:before="0" w:after="0"/>
              <w:ind w:left="0" w:right="0" w:hanging="0"/>
              <w:jc w:val="left"/>
              <w:rPr/>
            </w:pPr>
            <w:r>
              <w:rPr/>
              <w:t> </w:t>
            </w:r>
          </w:p>
        </w:tc>
        <w:tc>
          <w:tcPr>
            <w:tcW w:w="816" w:type="dxa"/>
            <w:tcBorders/>
            <w:shd w:fill="CCEEFF" w:val="clear"/>
            <w:vAlign w:val="bottom"/>
          </w:tcPr>
          <w:p>
            <w:pPr>
              <w:pStyle w:val="TableContents"/>
              <w:bidi w:val="0"/>
              <w:spacing w:before="0" w:after="283"/>
              <w:jc w:val="right"/>
              <w:rPr>
                <w:rFonts w:ascii="Arial" w:hAnsi="Arial"/>
                <w:sz w:val="10"/>
              </w:rPr>
            </w:pPr>
            <w:r>
              <w:rPr>
                <w:rFonts w:ascii="Arial" w:hAnsi="Arial"/>
                <w:sz w:val="10"/>
              </w:rPr>
              <w:t xml:space="preserve">0.34%  </w:t>
            </w:r>
          </w:p>
        </w:tc>
      </w:tr>
      <w:tr>
        <w:trPr/>
        <w:tc>
          <w:tcPr>
            <w:tcW w:w="2921" w:type="dxa"/>
            <w:tcBorders/>
            <w:vAlign w:val="bottom"/>
          </w:tcPr>
          <w:p>
            <w:pPr>
              <w:pStyle w:val="TableContents"/>
              <w:bidi w:val="0"/>
              <w:spacing w:lineRule="auto" w:line="240" w:before="0" w:after="0"/>
              <w:ind w:left="0" w:right="0" w:hanging="0"/>
              <w:jc w:val="left"/>
              <w:rPr>
                <w:rFonts w:ascii="Arial" w:hAnsi="Arial"/>
                <w:sz w:val="10"/>
              </w:rPr>
            </w:pPr>
            <w:r>
              <w:rPr>
                <w:rFonts w:ascii="Arial" w:hAnsi="Arial"/>
                <w:sz w:val="10"/>
              </w:rPr>
              <w:t>Loan Loss Reserve/NPAs</w:t>
            </w:r>
          </w:p>
        </w:tc>
        <w:tc>
          <w:tcPr>
            <w:tcW w:w="140" w:type="dxa"/>
            <w:tcBorders/>
            <w:vAlign w:val="bottom"/>
          </w:tcPr>
          <w:p>
            <w:pPr>
              <w:pStyle w:val="TableContents"/>
              <w:bidi w:val="0"/>
              <w:spacing w:lineRule="auto" w:line="240" w:before="0" w:after="0"/>
              <w:ind w:left="0" w:right="0" w:hanging="0"/>
              <w:jc w:val="left"/>
              <w:rPr/>
            </w:pPr>
            <w:r>
              <w:rPr/>
              <w:t> </w:t>
            </w:r>
          </w:p>
        </w:tc>
        <w:tc>
          <w:tcPr>
            <w:tcW w:w="797" w:type="dxa"/>
            <w:tcBorders/>
            <w:vAlign w:val="bottom"/>
          </w:tcPr>
          <w:p>
            <w:pPr>
              <w:pStyle w:val="TableContents"/>
              <w:bidi w:val="0"/>
              <w:spacing w:before="0" w:after="283"/>
              <w:jc w:val="right"/>
              <w:rPr>
                <w:rFonts w:ascii="Arial" w:hAnsi="Arial"/>
                <w:color w:val="000000"/>
                <w:sz w:val="10"/>
              </w:rPr>
            </w:pPr>
            <w:r>
              <w:rPr>
                <w:rFonts w:ascii="Arial" w:hAnsi="Arial"/>
                <w:color w:val="000000"/>
                <w:sz w:val="10"/>
              </w:rPr>
              <w:t xml:space="preserve">91.13%  </w:t>
            </w:r>
          </w:p>
        </w:tc>
        <w:tc>
          <w:tcPr>
            <w:tcW w:w="140" w:type="dxa"/>
            <w:tcBorders/>
            <w:vAlign w:val="bottom"/>
          </w:tcPr>
          <w:p>
            <w:pPr>
              <w:pStyle w:val="TableContents"/>
              <w:bidi w:val="0"/>
              <w:spacing w:lineRule="auto" w:line="240" w:before="0" w:after="0"/>
              <w:ind w:left="0" w:right="0" w:hanging="0"/>
              <w:jc w:val="left"/>
              <w:rPr/>
            </w:pPr>
            <w:r>
              <w:rPr/>
              <w:t> </w:t>
            </w:r>
          </w:p>
        </w:tc>
        <w:tc>
          <w:tcPr>
            <w:tcW w:w="917" w:type="dxa"/>
            <w:tcBorders/>
            <w:vAlign w:val="bottom"/>
          </w:tcPr>
          <w:p>
            <w:pPr>
              <w:pStyle w:val="TableContents"/>
              <w:bidi w:val="0"/>
              <w:spacing w:before="0" w:after="283"/>
              <w:jc w:val="right"/>
              <w:rPr>
                <w:rFonts w:ascii="Arial" w:hAnsi="Arial"/>
                <w:color w:val="000000"/>
                <w:sz w:val="10"/>
              </w:rPr>
            </w:pPr>
            <w:r>
              <w:rPr>
                <w:rFonts w:ascii="Arial" w:hAnsi="Arial"/>
                <w:color w:val="000000"/>
                <w:sz w:val="10"/>
              </w:rPr>
              <w:t xml:space="preserve">219.93%  </w:t>
            </w:r>
          </w:p>
        </w:tc>
        <w:tc>
          <w:tcPr>
            <w:tcW w:w="140" w:type="dxa"/>
            <w:tcBorders/>
            <w:vAlign w:val="bottom"/>
          </w:tcPr>
          <w:p>
            <w:pPr>
              <w:pStyle w:val="TableContents"/>
              <w:bidi w:val="0"/>
              <w:spacing w:lineRule="auto" w:line="240" w:before="0" w:after="0"/>
              <w:ind w:left="0" w:right="0" w:hanging="0"/>
              <w:jc w:val="left"/>
              <w:rPr/>
            </w:pPr>
            <w:r>
              <w:rPr/>
              <w:t> </w:t>
            </w:r>
          </w:p>
        </w:tc>
        <w:tc>
          <w:tcPr>
            <w:tcW w:w="1277" w:type="dxa"/>
            <w:tcBorders/>
            <w:vAlign w:val="bottom"/>
          </w:tcPr>
          <w:p>
            <w:pPr>
              <w:pStyle w:val="TableContents"/>
              <w:bidi w:val="0"/>
              <w:spacing w:before="0" w:after="283"/>
              <w:jc w:val="right"/>
              <w:rPr>
                <w:rFonts w:ascii="Arial" w:hAnsi="Arial"/>
                <w:color w:val="000000"/>
                <w:sz w:val="10"/>
              </w:rPr>
            </w:pPr>
            <w:r>
              <w:rPr>
                <w:rFonts w:ascii="Arial" w:hAnsi="Arial"/>
                <w:color w:val="000000"/>
                <w:sz w:val="10"/>
              </w:rPr>
              <w:t xml:space="preserve">279.62%  </w:t>
            </w:r>
          </w:p>
        </w:tc>
        <w:tc>
          <w:tcPr>
            <w:tcW w:w="140" w:type="dxa"/>
            <w:tcBorders/>
            <w:vAlign w:val="bottom"/>
          </w:tcPr>
          <w:p>
            <w:pPr>
              <w:pStyle w:val="TableContents"/>
              <w:bidi w:val="0"/>
              <w:spacing w:lineRule="auto" w:line="240" w:before="0" w:after="0"/>
              <w:ind w:left="0" w:right="0" w:hanging="0"/>
              <w:jc w:val="left"/>
              <w:rPr/>
            </w:pPr>
            <w:r>
              <w:rPr/>
              <w:t> </w:t>
            </w:r>
          </w:p>
        </w:tc>
        <w:tc>
          <w:tcPr>
            <w:tcW w:w="1337" w:type="dxa"/>
            <w:tcBorders/>
            <w:vAlign w:val="bottom"/>
          </w:tcPr>
          <w:p>
            <w:pPr>
              <w:pStyle w:val="TableContents"/>
              <w:bidi w:val="0"/>
              <w:spacing w:before="0" w:after="283"/>
              <w:jc w:val="right"/>
              <w:rPr>
                <w:rFonts w:ascii="Arial" w:hAnsi="Arial"/>
                <w:color w:val="000000"/>
                <w:sz w:val="10"/>
              </w:rPr>
            </w:pPr>
            <w:r>
              <w:rPr>
                <w:rFonts w:ascii="Arial" w:hAnsi="Arial"/>
                <w:color w:val="000000"/>
                <w:sz w:val="10"/>
              </w:rPr>
              <w:t xml:space="preserve">270.50%  </w:t>
            </w:r>
          </w:p>
        </w:tc>
        <w:tc>
          <w:tcPr>
            <w:tcW w:w="140" w:type="dxa"/>
            <w:tcBorders/>
            <w:vAlign w:val="bottom"/>
          </w:tcPr>
          <w:p>
            <w:pPr>
              <w:pStyle w:val="TableContents"/>
              <w:bidi w:val="0"/>
              <w:spacing w:lineRule="auto" w:line="240" w:before="0" w:after="0"/>
              <w:ind w:left="0" w:right="0" w:hanging="0"/>
              <w:jc w:val="left"/>
              <w:rPr/>
            </w:pPr>
            <w:r>
              <w:rPr/>
              <w:t> </w:t>
            </w:r>
          </w:p>
        </w:tc>
        <w:tc>
          <w:tcPr>
            <w:tcW w:w="816" w:type="dxa"/>
            <w:tcBorders/>
            <w:vAlign w:val="bottom"/>
          </w:tcPr>
          <w:p>
            <w:pPr>
              <w:pStyle w:val="TableContents"/>
              <w:bidi w:val="0"/>
              <w:spacing w:before="0" w:after="283"/>
              <w:jc w:val="right"/>
              <w:rPr>
                <w:rFonts w:ascii="Arial" w:hAnsi="Arial"/>
                <w:color w:val="000000"/>
                <w:sz w:val="10"/>
              </w:rPr>
            </w:pPr>
            <w:r>
              <w:rPr>
                <w:rFonts w:ascii="Arial" w:hAnsi="Arial"/>
                <w:color w:val="000000"/>
                <w:sz w:val="10"/>
              </w:rPr>
              <w:t xml:space="preserve">258.43%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464"/>
        <w:gridCol w:w="557"/>
        <w:gridCol w:w="559"/>
        <w:gridCol w:w="3236"/>
        <w:gridCol w:w="71"/>
        <w:gridCol w:w="965"/>
        <w:gridCol w:w="965"/>
        <w:gridCol w:w="60"/>
        <w:gridCol w:w="935"/>
        <w:gridCol w:w="953"/>
      </w:tblGrid>
      <w:tr>
        <w:trPr/>
        <w:tc>
          <w:tcPr>
            <w:tcW w:w="464" w:type="dxa"/>
            <w:tcBorders/>
          </w:tcPr>
          <w:p>
            <w:pPr>
              <w:pStyle w:val="TableContents"/>
              <w:bidi w:val="0"/>
              <w:spacing w:lineRule="auto" w:line="276" w:before="0" w:after="0"/>
              <w:ind w:left="0" w:right="0" w:hanging="0"/>
              <w:jc w:val="left"/>
              <w:rPr>
                <w:rFonts w:cs="Arial"/>
                <w:szCs w:val="2"/>
              </w:rPr>
            </w:pPr>
            <w:r>
              <w:rPr>
                <w:rFonts w:cs="Arial"/>
                <w:szCs w:val="2"/>
              </w:rPr>
              <w:t>﻿</w:t>
            </w:r>
          </w:p>
        </w:tc>
        <w:tc>
          <w:tcPr>
            <w:tcW w:w="557" w:type="dxa"/>
            <w:tcBorders/>
          </w:tcPr>
          <w:p>
            <w:pPr>
              <w:pStyle w:val="TableContents"/>
              <w:bidi w:val="0"/>
              <w:spacing w:lineRule="auto" w:line="276" w:before="0" w:after="0"/>
              <w:ind w:left="0" w:right="0" w:hanging="0"/>
              <w:jc w:val="left"/>
              <w:rPr/>
            </w:pPr>
            <w:r>
              <w:rPr/>
              <w:t> </w:t>
            </w:r>
          </w:p>
        </w:tc>
        <w:tc>
          <w:tcPr>
            <w:tcW w:w="559" w:type="dxa"/>
            <w:tcBorders/>
          </w:tcPr>
          <w:p>
            <w:pPr>
              <w:pStyle w:val="TableContents"/>
              <w:bidi w:val="0"/>
              <w:spacing w:lineRule="auto" w:line="276" w:before="0" w:after="0"/>
              <w:ind w:left="0" w:right="0" w:hanging="0"/>
              <w:jc w:val="left"/>
              <w:rPr/>
            </w:pPr>
            <w:r>
              <w:rPr/>
              <w:t> </w:t>
            </w:r>
          </w:p>
        </w:tc>
        <w:tc>
          <w:tcPr>
            <w:tcW w:w="3236" w:type="dxa"/>
            <w:tcBorders/>
          </w:tcPr>
          <w:p>
            <w:pPr>
              <w:pStyle w:val="TableContents"/>
              <w:bidi w:val="0"/>
              <w:spacing w:lineRule="auto" w:line="276" w:before="0" w:after="0"/>
              <w:ind w:left="0" w:right="0" w:hanging="0"/>
              <w:jc w:val="left"/>
              <w:rPr/>
            </w:pPr>
            <w:r>
              <w:rPr/>
              <w:t> </w:t>
            </w:r>
          </w:p>
        </w:tc>
        <w:tc>
          <w:tcPr>
            <w:tcW w:w="71" w:type="dxa"/>
            <w:tcBorders/>
          </w:tcPr>
          <w:p>
            <w:pPr>
              <w:pStyle w:val="TableContents"/>
              <w:bidi w:val="0"/>
              <w:spacing w:lineRule="auto" w:line="276" w:before="0" w:after="0"/>
              <w:ind w:left="0" w:right="0" w:hanging="0"/>
              <w:jc w:val="left"/>
              <w:rPr/>
            </w:pPr>
            <w:r>
              <w:rPr/>
              <w:t> </w:t>
            </w:r>
          </w:p>
        </w:tc>
        <w:tc>
          <w:tcPr>
            <w:tcW w:w="965" w:type="dxa"/>
            <w:tcBorders/>
          </w:tcPr>
          <w:p>
            <w:pPr>
              <w:pStyle w:val="TableContents"/>
              <w:bidi w:val="0"/>
              <w:spacing w:lineRule="auto" w:line="276" w:before="0" w:after="0"/>
              <w:ind w:left="0" w:right="0" w:hanging="0"/>
              <w:jc w:val="left"/>
              <w:rPr/>
            </w:pPr>
            <w:r>
              <w:rPr/>
              <w:t> </w:t>
            </w:r>
          </w:p>
        </w:tc>
        <w:tc>
          <w:tcPr>
            <w:tcW w:w="965" w:type="dxa"/>
            <w:tcBorders/>
          </w:tcPr>
          <w:p>
            <w:pPr>
              <w:pStyle w:val="TableContents"/>
              <w:bidi w:val="0"/>
              <w:spacing w:lineRule="auto" w:line="276" w:before="0" w:after="0"/>
              <w:ind w:left="0" w:right="0" w:hanging="0"/>
              <w:jc w:val="left"/>
              <w:rPr/>
            </w:pPr>
            <w:r>
              <w:rPr/>
              <w:t> </w:t>
            </w:r>
          </w:p>
        </w:tc>
        <w:tc>
          <w:tcPr>
            <w:tcW w:w="60" w:type="dxa"/>
            <w:tcBorders/>
          </w:tcPr>
          <w:p>
            <w:pPr>
              <w:pStyle w:val="TableContents"/>
              <w:bidi w:val="0"/>
              <w:spacing w:lineRule="auto" w:line="276" w:before="0" w:after="0"/>
              <w:ind w:left="0" w:right="0" w:hanging="0"/>
              <w:jc w:val="left"/>
              <w:rPr/>
            </w:pPr>
            <w:r>
              <w:rPr/>
              <w:t> </w:t>
            </w:r>
          </w:p>
        </w:tc>
        <w:tc>
          <w:tcPr>
            <w:tcW w:w="935" w:type="dxa"/>
            <w:tcBorders/>
          </w:tcPr>
          <w:p>
            <w:pPr>
              <w:pStyle w:val="TableContents"/>
              <w:bidi w:val="0"/>
              <w:spacing w:lineRule="auto" w:line="276" w:before="0" w:after="0"/>
              <w:ind w:left="0" w:right="0" w:hanging="0"/>
              <w:jc w:val="left"/>
              <w:rPr/>
            </w:pPr>
            <w:r>
              <w:rPr/>
              <w:t> </w:t>
            </w:r>
          </w:p>
        </w:tc>
        <w:tc>
          <w:tcPr>
            <w:tcW w:w="953" w:type="dxa"/>
            <w:tcBorders/>
          </w:tcPr>
          <w:p>
            <w:pPr>
              <w:pStyle w:val="TableContents"/>
              <w:bidi w:val="0"/>
              <w:spacing w:lineRule="auto" w:line="276" w:before="0" w:after="0"/>
              <w:ind w:left="0" w:right="0" w:hanging="0"/>
              <w:jc w:val="left"/>
              <w:rPr/>
            </w:pPr>
            <w:r>
              <w:rPr/>
              <w:t> </w:t>
            </w:r>
          </w:p>
        </w:tc>
      </w:tr>
      <w:tr>
        <w:trPr/>
        <w:tc>
          <w:tcPr>
            <w:tcW w:w="464" w:type="dxa"/>
            <w:tcBorders/>
          </w:tcPr>
          <w:p>
            <w:pPr>
              <w:pStyle w:val="TableContents"/>
              <w:bidi w:val="0"/>
              <w:spacing w:lineRule="auto" w:line="276" w:before="0" w:after="0"/>
              <w:ind w:left="0" w:right="0" w:hanging="0"/>
              <w:jc w:val="left"/>
              <w:rPr>
                <w:rFonts w:cs="Arial"/>
                <w:szCs w:val="2"/>
              </w:rPr>
            </w:pPr>
            <w:r>
              <w:rPr>
                <w:rFonts w:cs="Arial"/>
                <w:szCs w:val="2"/>
              </w:rPr>
              <w:t>﻿</w:t>
            </w:r>
          </w:p>
        </w:tc>
        <w:tc>
          <w:tcPr>
            <w:tcW w:w="557" w:type="dxa"/>
            <w:tcBorders/>
          </w:tcPr>
          <w:p>
            <w:pPr>
              <w:pStyle w:val="TableContents"/>
              <w:bidi w:val="0"/>
              <w:spacing w:lineRule="auto" w:line="276" w:before="0" w:after="0"/>
              <w:ind w:left="0" w:right="0" w:hanging="0"/>
              <w:jc w:val="left"/>
              <w:rPr/>
            </w:pPr>
            <w:r>
              <w:rPr/>
              <w:t> </w:t>
            </w:r>
          </w:p>
        </w:tc>
        <w:tc>
          <w:tcPr>
            <w:tcW w:w="559" w:type="dxa"/>
            <w:tcBorders/>
          </w:tcPr>
          <w:p>
            <w:pPr>
              <w:pStyle w:val="TableContents"/>
              <w:bidi w:val="0"/>
              <w:spacing w:lineRule="auto" w:line="276" w:before="0" w:after="0"/>
              <w:ind w:left="0" w:right="0" w:hanging="0"/>
              <w:jc w:val="left"/>
              <w:rPr/>
            </w:pPr>
            <w:r>
              <w:rPr/>
              <w:t> </w:t>
            </w:r>
          </w:p>
        </w:tc>
        <w:tc>
          <w:tcPr>
            <w:tcW w:w="3236" w:type="dxa"/>
            <w:tcBorders/>
          </w:tcPr>
          <w:p>
            <w:pPr>
              <w:pStyle w:val="TableContents"/>
              <w:bidi w:val="0"/>
              <w:spacing w:lineRule="auto" w:line="276" w:before="0" w:after="0"/>
              <w:ind w:left="0" w:right="0" w:hanging="0"/>
              <w:jc w:val="left"/>
              <w:rPr/>
            </w:pPr>
            <w:r>
              <w:rPr/>
              <w:t> </w:t>
            </w:r>
          </w:p>
        </w:tc>
        <w:tc>
          <w:tcPr>
            <w:tcW w:w="71" w:type="dxa"/>
            <w:tcBorders/>
          </w:tcPr>
          <w:p>
            <w:pPr>
              <w:pStyle w:val="TableContents"/>
              <w:bidi w:val="0"/>
              <w:spacing w:lineRule="auto" w:line="276" w:before="0" w:after="0"/>
              <w:ind w:left="0" w:right="0" w:hanging="0"/>
              <w:jc w:val="left"/>
              <w:rPr/>
            </w:pPr>
            <w:r>
              <w:rPr/>
              <w:t> </w:t>
            </w:r>
          </w:p>
        </w:tc>
        <w:tc>
          <w:tcPr>
            <w:tcW w:w="965" w:type="dxa"/>
            <w:tcBorders/>
          </w:tcPr>
          <w:p>
            <w:pPr>
              <w:pStyle w:val="TableContents"/>
              <w:bidi w:val="0"/>
              <w:spacing w:lineRule="auto" w:line="276" w:before="0" w:after="0"/>
              <w:ind w:left="0" w:right="0" w:hanging="0"/>
              <w:jc w:val="left"/>
              <w:rPr/>
            </w:pPr>
            <w:r>
              <w:rPr/>
              <w:t> </w:t>
            </w:r>
          </w:p>
        </w:tc>
        <w:tc>
          <w:tcPr>
            <w:tcW w:w="965" w:type="dxa"/>
            <w:tcBorders/>
          </w:tcPr>
          <w:p>
            <w:pPr>
              <w:pStyle w:val="TableContents"/>
              <w:bidi w:val="0"/>
              <w:spacing w:lineRule="auto" w:line="276" w:before="0" w:after="0"/>
              <w:ind w:left="0" w:right="0" w:hanging="0"/>
              <w:jc w:val="left"/>
              <w:rPr/>
            </w:pPr>
            <w:r>
              <w:rPr/>
              <w:t> </w:t>
            </w:r>
          </w:p>
        </w:tc>
        <w:tc>
          <w:tcPr>
            <w:tcW w:w="60" w:type="dxa"/>
            <w:tcBorders/>
          </w:tcPr>
          <w:p>
            <w:pPr>
              <w:pStyle w:val="TableContents"/>
              <w:bidi w:val="0"/>
              <w:spacing w:lineRule="auto" w:line="276" w:before="0" w:after="0"/>
              <w:ind w:left="0" w:right="0" w:hanging="0"/>
              <w:jc w:val="left"/>
              <w:rPr/>
            </w:pPr>
            <w:r>
              <w:rPr/>
              <w:t> </w:t>
            </w:r>
          </w:p>
        </w:tc>
        <w:tc>
          <w:tcPr>
            <w:tcW w:w="935" w:type="dxa"/>
            <w:tcBorders/>
          </w:tcPr>
          <w:p>
            <w:pPr>
              <w:pStyle w:val="TableContents"/>
              <w:bidi w:val="0"/>
              <w:spacing w:lineRule="auto" w:line="276" w:before="0" w:after="0"/>
              <w:ind w:left="0" w:right="0" w:hanging="0"/>
              <w:jc w:val="left"/>
              <w:rPr/>
            </w:pPr>
            <w:r>
              <w:rPr/>
              <w:t> </w:t>
            </w:r>
          </w:p>
        </w:tc>
        <w:tc>
          <w:tcPr>
            <w:tcW w:w="953" w:type="dxa"/>
            <w:tcBorders/>
          </w:tcPr>
          <w:p>
            <w:pPr>
              <w:pStyle w:val="TableContents"/>
              <w:bidi w:val="0"/>
              <w:spacing w:lineRule="auto" w:line="276" w:before="0" w:after="0"/>
              <w:ind w:left="0" w:right="0" w:hanging="0"/>
              <w:jc w:val="left"/>
              <w:rPr/>
            </w:pPr>
            <w:r>
              <w:rPr/>
              <w:t> </w:t>
            </w:r>
          </w:p>
        </w:tc>
      </w:tr>
      <w:tr>
        <w:trPr/>
        <w:tc>
          <w:tcPr>
            <w:tcW w:w="4816" w:type="dxa"/>
            <w:gridSpan w:val="4"/>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NORWOOD FINANCIAL CORP</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816" w:type="dxa"/>
            <w:gridSpan w:val="4"/>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Reconciliation of Non-GAAP Results (unaudited)</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816" w:type="dxa"/>
            <w:gridSpan w:val="4"/>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(dollars in thousands, except per share data)</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1580" w:type="dxa"/>
            <w:gridSpan w:val="3"/>
            <w:tcBorders/>
          </w:tcPr>
          <w:p>
            <w:pPr>
              <w:pStyle w:val="TableContents"/>
              <w:bidi w:val="0"/>
              <w:spacing w:lineRule="auto" w:line="240" w:before="0" w:after="0"/>
              <w:ind w:left="0" w:right="0" w:hanging="0"/>
              <w:jc w:val="left"/>
              <w:rPr>
                <w:rFonts w:ascii="Arial" w:hAnsi="Arial"/>
                <w:b/>
                <w:color w:val="000000"/>
                <w:sz w:val="20"/>
                <w:u w:val="single"/>
              </w:rPr>
            </w:pPr>
            <w:r>
              <w:rPr>
                <w:rFonts w:ascii="Arial" w:hAnsi="Arial"/>
                <w:b/>
                <w:color w:val="000000"/>
                <w:sz w:val="20"/>
                <w:u w:val="single"/>
              </w:rPr>
              <w:t>Net Interest Income FTE</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1580" w:type="dxa"/>
            <w:gridSpan w:val="3"/>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(dollars in thousands)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1930" w:type="dxa"/>
            <w:gridSpan w:val="2"/>
            <w:tcBorders/>
          </w:tcPr>
          <w:p>
            <w:pPr>
              <w:pStyle w:val="TableContents"/>
              <w:bidi w:val="0"/>
              <w:spacing w:lineRule="auto" w:line="240" w:before="0" w:after="0"/>
              <w:ind w:left="0" w:right="0" w:hanging="0"/>
              <w:jc w:val="center"/>
              <w:rPr>
                <w:rFonts w:ascii="Arial" w:hAnsi="Arial"/>
                <w:b/>
                <w:color w:val="000000"/>
                <w:sz w:val="20"/>
              </w:rPr>
            </w:pPr>
            <w:r>
              <w:rPr>
                <w:rFonts w:ascii="Arial" w:hAnsi="Arial"/>
                <w:b/>
                <w:color w:val="000000"/>
                <w:sz w:val="20"/>
              </w:rPr>
              <w:t xml:space="preserve">Three months ended </w:t>
            </w:r>
          </w:p>
        </w:tc>
        <w:tc>
          <w:tcPr>
            <w:tcW w:w="60" w:type="dxa"/>
            <w:tcBorders/>
          </w:tcPr>
          <w:p>
            <w:pPr>
              <w:pStyle w:val="TableContents"/>
              <w:bidi w:val="0"/>
              <w:spacing w:lineRule="auto" w:line="240" w:before="0" w:after="0"/>
              <w:ind w:left="0" w:right="0" w:hanging="0"/>
              <w:jc w:val="right"/>
              <w:rPr/>
            </w:pPr>
            <w:r>
              <w:rPr/>
              <w:t> </w:t>
            </w:r>
          </w:p>
        </w:tc>
        <w:tc>
          <w:tcPr>
            <w:tcW w:w="1888" w:type="dxa"/>
            <w:gridSpan w:val="2"/>
            <w:tcBorders/>
          </w:tcPr>
          <w:p>
            <w:pPr>
              <w:pStyle w:val="TableContents"/>
              <w:bidi w:val="0"/>
              <w:spacing w:lineRule="auto" w:line="240" w:before="0" w:after="0"/>
              <w:ind w:left="0" w:right="0" w:hanging="0"/>
              <w:jc w:val="center"/>
              <w:rPr>
                <w:rFonts w:ascii="Arial" w:hAnsi="Arial"/>
                <w:b/>
                <w:color w:val="000000"/>
                <w:sz w:val="20"/>
              </w:rPr>
            </w:pPr>
            <w:r>
              <w:rPr>
                <w:rFonts w:ascii="Arial" w:hAnsi="Arial"/>
                <w:b/>
                <w:color w:val="000000"/>
                <w:sz w:val="20"/>
              </w:rPr>
              <w:t xml:space="preserve">Six months ended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1930" w:type="dxa"/>
            <w:gridSpan w:val="2"/>
            <w:tcBorders/>
          </w:tcPr>
          <w:p>
            <w:pPr>
              <w:pStyle w:val="TableContents"/>
              <w:bidi w:val="0"/>
              <w:spacing w:lineRule="auto" w:line="240" w:before="0" w:after="0"/>
              <w:ind w:left="0" w:right="0" w:hanging="0"/>
              <w:jc w:val="center"/>
              <w:rPr>
                <w:rFonts w:ascii="Arial" w:hAnsi="Arial"/>
                <w:b/>
                <w:color w:val="000000"/>
                <w:sz w:val="20"/>
                <w:u w:val="single"/>
              </w:rPr>
            </w:pPr>
            <w:r>
              <w:rPr>
                <w:rFonts w:ascii="Arial" w:hAnsi="Arial"/>
                <w:b/>
                <w:color w:val="000000"/>
                <w:sz w:val="20"/>
                <w:u w:val="single"/>
              </w:rPr>
              <w:t>June 30</w:t>
            </w:r>
          </w:p>
        </w:tc>
        <w:tc>
          <w:tcPr>
            <w:tcW w:w="60" w:type="dxa"/>
            <w:tcBorders/>
          </w:tcPr>
          <w:p>
            <w:pPr>
              <w:pStyle w:val="TableContents"/>
              <w:bidi w:val="0"/>
              <w:spacing w:lineRule="auto" w:line="240" w:before="0" w:after="0"/>
              <w:ind w:left="0" w:right="0" w:hanging="0"/>
              <w:jc w:val="right"/>
              <w:rPr/>
            </w:pPr>
            <w:r>
              <w:rPr/>
              <w:t> </w:t>
            </w:r>
          </w:p>
        </w:tc>
        <w:tc>
          <w:tcPr>
            <w:tcW w:w="1888" w:type="dxa"/>
            <w:gridSpan w:val="2"/>
            <w:tcBorders/>
          </w:tcPr>
          <w:p>
            <w:pPr>
              <w:pStyle w:val="TableContents"/>
              <w:bidi w:val="0"/>
              <w:spacing w:lineRule="auto" w:line="240" w:before="0" w:after="0"/>
              <w:ind w:left="0" w:right="0" w:hanging="0"/>
              <w:jc w:val="center"/>
              <w:rPr>
                <w:rFonts w:ascii="Arial" w:hAnsi="Arial"/>
                <w:b/>
                <w:color w:val="000000"/>
                <w:sz w:val="20"/>
                <w:u w:val="single"/>
              </w:rPr>
            </w:pPr>
            <w:r>
              <w:rPr>
                <w:rFonts w:ascii="Arial" w:hAnsi="Arial"/>
                <w:b/>
                <w:color w:val="000000"/>
                <w:sz w:val="20"/>
                <w:u w:val="single"/>
              </w:rPr>
              <w:t>June 30</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2026</w:t>
            </w:r>
          </w:p>
        </w:tc>
        <w:tc>
          <w:tcPr>
            <w:tcW w:w="96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2025</w:t>
            </w:r>
          </w:p>
        </w:tc>
        <w:tc>
          <w:tcPr>
            <w:tcW w:w="60" w:type="dxa"/>
            <w:tcBorders/>
          </w:tcPr>
          <w:p>
            <w:pPr>
              <w:pStyle w:val="TableContents"/>
              <w:bidi w:val="0"/>
              <w:spacing w:lineRule="auto" w:line="240" w:before="0" w:after="0"/>
              <w:ind w:left="0" w:right="0" w:hanging="0"/>
              <w:jc w:val="center"/>
              <w:rPr/>
            </w:pPr>
            <w:r>
              <w:rPr/>
              <w:t> </w:t>
            </w:r>
          </w:p>
        </w:tc>
        <w:tc>
          <w:tcPr>
            <w:tcW w:w="93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2026</w:t>
            </w:r>
          </w:p>
        </w:tc>
        <w:tc>
          <w:tcPr>
            <w:tcW w:w="953"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2025</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center"/>
              <w:rPr/>
            </w:pPr>
            <w:r>
              <w:rPr/>
              <w:t> </w:t>
            </w:r>
          </w:p>
        </w:tc>
        <w:tc>
          <w:tcPr>
            <w:tcW w:w="965" w:type="dxa"/>
            <w:tcBorders/>
          </w:tcPr>
          <w:p>
            <w:pPr>
              <w:pStyle w:val="TableContents"/>
              <w:bidi w:val="0"/>
              <w:spacing w:lineRule="auto" w:line="240" w:before="0" w:after="0"/>
              <w:ind w:left="0" w:right="0" w:hanging="0"/>
              <w:jc w:val="center"/>
              <w:rPr/>
            </w:pPr>
            <w:r>
              <w:rPr/>
              <w:t> </w:t>
            </w:r>
          </w:p>
        </w:tc>
        <w:tc>
          <w:tcPr>
            <w:tcW w:w="60" w:type="dxa"/>
            <w:tcBorders/>
          </w:tcPr>
          <w:p>
            <w:pPr>
              <w:pStyle w:val="TableContents"/>
              <w:bidi w:val="0"/>
              <w:spacing w:lineRule="auto" w:line="240" w:before="0" w:after="0"/>
              <w:ind w:left="0" w:right="0" w:hanging="0"/>
              <w:jc w:val="center"/>
              <w:rPr/>
            </w:pPr>
            <w:r>
              <w:rPr/>
              <w:t> </w:t>
            </w:r>
          </w:p>
        </w:tc>
        <w:tc>
          <w:tcPr>
            <w:tcW w:w="935" w:type="dxa"/>
            <w:tcBorders/>
          </w:tcPr>
          <w:p>
            <w:pPr>
              <w:pStyle w:val="TableContents"/>
              <w:bidi w:val="0"/>
              <w:spacing w:lineRule="auto" w:line="240" w:before="0" w:after="0"/>
              <w:ind w:left="0" w:right="0" w:hanging="0"/>
              <w:jc w:val="center"/>
              <w:rPr/>
            </w:pPr>
            <w:r>
              <w:rPr/>
              <w:t> </w:t>
            </w:r>
          </w:p>
        </w:tc>
        <w:tc>
          <w:tcPr>
            <w:tcW w:w="953" w:type="dxa"/>
            <w:tcBorders/>
          </w:tcPr>
          <w:p>
            <w:pPr>
              <w:pStyle w:val="TableContents"/>
              <w:bidi w:val="0"/>
              <w:spacing w:lineRule="auto" w:line="240" w:before="0" w:after="0"/>
              <w:ind w:left="0" w:right="0" w:hanging="0"/>
              <w:jc w:val="center"/>
              <w:rPr/>
            </w:pPr>
            <w:r>
              <w:rPr/>
              <w:t>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shd w:fill="CCEEFF" w:val="clear"/>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Net Interest Income </w:t>
            </w:r>
          </w:p>
        </w:tc>
        <w:tc>
          <w:tcPr>
            <w:tcW w:w="71" w:type="dxa"/>
            <w:tcBorders/>
            <w:shd w:fill="CCEEFF" w:val="clear"/>
          </w:tcPr>
          <w:p>
            <w:pPr>
              <w:pStyle w:val="TableContents"/>
              <w:bidi w:val="0"/>
              <w:spacing w:lineRule="auto" w:line="240" w:before="0" w:after="0"/>
              <w:ind w:left="0" w:right="0" w:hanging="0"/>
              <w:jc w:val="right"/>
              <w:rPr/>
            </w:pPr>
            <w:r>
              <w:rPr/>
              <w:t> </w:t>
            </w:r>
          </w:p>
        </w:tc>
        <w:tc>
          <w:tcPr>
            <w:tcW w:w="96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$26,839  </w:t>
            </w:r>
          </w:p>
        </w:tc>
        <w:tc>
          <w:tcPr>
            <w:tcW w:w="96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$19,065  </w:t>
            </w:r>
          </w:p>
        </w:tc>
        <w:tc>
          <w:tcPr>
            <w:tcW w:w="60" w:type="dxa"/>
            <w:tcBorders/>
            <w:shd w:fill="CCEEFF" w:val="clear"/>
          </w:tcPr>
          <w:p>
            <w:pPr>
              <w:pStyle w:val="TableContents"/>
              <w:bidi w:val="0"/>
              <w:spacing w:lineRule="auto" w:line="240" w:before="0" w:after="0"/>
              <w:ind w:left="0" w:right="0" w:hanging="0"/>
              <w:jc w:val="right"/>
              <w:rPr/>
            </w:pPr>
            <w:r>
              <w:rPr/>
              <w:t> </w:t>
            </w:r>
          </w:p>
        </w:tc>
        <w:tc>
          <w:tcPr>
            <w:tcW w:w="93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$51,393  </w:t>
            </w:r>
          </w:p>
        </w:tc>
        <w:tc>
          <w:tcPr>
            <w:tcW w:w="953"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$36,923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307" w:type="dxa"/>
            <w:gridSpan w:val="2"/>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Taxable equivalent basis adjustment using 21% marginal tax rate </w:t>
            </w:r>
          </w:p>
        </w:tc>
        <w:tc>
          <w:tcPr>
            <w:tcW w:w="96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182  </w:t>
            </w:r>
          </w:p>
        </w:tc>
        <w:tc>
          <w:tcPr>
            <w:tcW w:w="96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199 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375  </w:t>
            </w:r>
          </w:p>
        </w:tc>
        <w:tc>
          <w:tcPr>
            <w:tcW w:w="953"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397 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307" w:type="dxa"/>
            <w:gridSpan w:val="2"/>
            <w:tcBorders/>
            <w:shd w:fill="CCEEFF" w:val="clear"/>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Net interest income on a fully taxable equivalent basis </w:t>
            </w:r>
          </w:p>
        </w:tc>
        <w:tc>
          <w:tcPr>
            <w:tcW w:w="96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$27,021  </w:t>
            </w:r>
          </w:p>
        </w:tc>
        <w:tc>
          <w:tcPr>
            <w:tcW w:w="96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$19,264  </w:t>
            </w:r>
          </w:p>
        </w:tc>
        <w:tc>
          <w:tcPr>
            <w:tcW w:w="60" w:type="dxa"/>
            <w:tcBorders/>
            <w:shd w:fill="CCEEFF" w:val="clear"/>
          </w:tcPr>
          <w:p>
            <w:pPr>
              <w:pStyle w:val="TableContents"/>
              <w:bidi w:val="0"/>
              <w:spacing w:lineRule="auto" w:line="240" w:before="0" w:after="0"/>
              <w:ind w:left="0" w:right="0" w:hanging="0"/>
              <w:jc w:val="right"/>
              <w:rPr/>
            </w:pPr>
            <w:r>
              <w:rPr/>
              <w:t> </w:t>
            </w:r>
          </w:p>
        </w:tc>
        <w:tc>
          <w:tcPr>
            <w:tcW w:w="93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$51,768  </w:t>
            </w:r>
          </w:p>
        </w:tc>
        <w:tc>
          <w:tcPr>
            <w:tcW w:w="953"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$37,320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1580" w:type="dxa"/>
            <w:gridSpan w:val="3"/>
            <w:tcBorders/>
          </w:tcPr>
          <w:p>
            <w:pPr>
              <w:pStyle w:val="TableContents"/>
              <w:bidi w:val="0"/>
              <w:spacing w:lineRule="auto" w:line="240" w:before="0" w:after="0"/>
              <w:ind w:left="0" w:right="0" w:hanging="0"/>
              <w:jc w:val="left"/>
              <w:rPr>
                <w:rFonts w:ascii="Arial" w:hAnsi="Arial"/>
                <w:b/>
                <w:color w:val="000000"/>
                <w:sz w:val="20"/>
                <w:u w:val="single"/>
              </w:rPr>
            </w:pPr>
            <w:r>
              <w:rPr>
                <w:rFonts w:ascii="Arial" w:hAnsi="Arial"/>
                <w:b/>
                <w:color w:val="000000"/>
                <w:sz w:val="20"/>
                <w:u w:val="single"/>
              </w:rPr>
              <w:t>Average Tangible Equity</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1580" w:type="dxa"/>
            <w:gridSpan w:val="3"/>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(dollars in thousands)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1930" w:type="dxa"/>
            <w:gridSpan w:val="2"/>
            <w:tcBorders/>
          </w:tcPr>
          <w:p>
            <w:pPr>
              <w:pStyle w:val="TableContents"/>
              <w:bidi w:val="0"/>
              <w:spacing w:lineRule="auto" w:line="240" w:before="0" w:after="0"/>
              <w:ind w:left="0" w:right="0" w:hanging="0"/>
              <w:jc w:val="center"/>
              <w:rPr>
                <w:rFonts w:ascii="Arial" w:hAnsi="Arial"/>
                <w:b/>
                <w:color w:val="000000"/>
                <w:sz w:val="20"/>
              </w:rPr>
            </w:pPr>
            <w:r>
              <w:rPr>
                <w:rFonts w:ascii="Arial" w:hAnsi="Arial"/>
                <w:b/>
                <w:color w:val="000000"/>
                <w:sz w:val="20"/>
              </w:rPr>
              <w:t xml:space="preserve">Three months ended </w:t>
            </w:r>
          </w:p>
        </w:tc>
        <w:tc>
          <w:tcPr>
            <w:tcW w:w="60" w:type="dxa"/>
            <w:tcBorders/>
          </w:tcPr>
          <w:p>
            <w:pPr>
              <w:pStyle w:val="TableContents"/>
              <w:bidi w:val="0"/>
              <w:spacing w:lineRule="auto" w:line="240" w:before="0" w:after="0"/>
              <w:ind w:left="0" w:right="0" w:hanging="0"/>
              <w:jc w:val="right"/>
              <w:rPr/>
            </w:pPr>
            <w:r>
              <w:rPr/>
              <w:t> </w:t>
            </w:r>
          </w:p>
        </w:tc>
        <w:tc>
          <w:tcPr>
            <w:tcW w:w="1888" w:type="dxa"/>
            <w:gridSpan w:val="2"/>
            <w:tcBorders/>
          </w:tcPr>
          <w:p>
            <w:pPr>
              <w:pStyle w:val="TableContents"/>
              <w:bidi w:val="0"/>
              <w:spacing w:lineRule="auto" w:line="240" w:before="0" w:after="0"/>
              <w:ind w:left="0" w:right="0" w:hanging="0"/>
              <w:jc w:val="center"/>
              <w:rPr>
                <w:rFonts w:ascii="Arial" w:hAnsi="Arial"/>
                <w:b/>
                <w:color w:val="000000"/>
                <w:sz w:val="20"/>
              </w:rPr>
            </w:pPr>
            <w:r>
              <w:rPr>
                <w:rFonts w:ascii="Arial" w:hAnsi="Arial"/>
                <w:b/>
                <w:color w:val="000000"/>
                <w:sz w:val="20"/>
              </w:rPr>
              <w:t xml:space="preserve">Six months ended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1930" w:type="dxa"/>
            <w:gridSpan w:val="2"/>
            <w:tcBorders/>
          </w:tcPr>
          <w:p>
            <w:pPr>
              <w:pStyle w:val="TableContents"/>
              <w:bidi w:val="0"/>
              <w:spacing w:lineRule="auto" w:line="240" w:before="0" w:after="0"/>
              <w:ind w:left="0" w:right="0" w:hanging="0"/>
              <w:jc w:val="center"/>
              <w:rPr>
                <w:rFonts w:ascii="Arial" w:hAnsi="Arial"/>
                <w:b/>
                <w:color w:val="000000"/>
                <w:sz w:val="20"/>
                <w:u w:val="single"/>
              </w:rPr>
            </w:pPr>
            <w:r>
              <w:rPr>
                <w:rFonts w:ascii="Arial" w:hAnsi="Arial"/>
                <w:b/>
                <w:color w:val="000000"/>
                <w:sz w:val="20"/>
                <w:u w:val="single"/>
              </w:rPr>
              <w:t>June 30</w:t>
            </w:r>
          </w:p>
        </w:tc>
        <w:tc>
          <w:tcPr>
            <w:tcW w:w="60" w:type="dxa"/>
            <w:tcBorders/>
          </w:tcPr>
          <w:p>
            <w:pPr>
              <w:pStyle w:val="TableContents"/>
              <w:bidi w:val="0"/>
              <w:spacing w:lineRule="auto" w:line="240" w:before="0" w:after="0"/>
              <w:ind w:left="0" w:right="0" w:hanging="0"/>
              <w:jc w:val="right"/>
              <w:rPr/>
            </w:pPr>
            <w:r>
              <w:rPr/>
              <w:t> </w:t>
            </w:r>
          </w:p>
        </w:tc>
        <w:tc>
          <w:tcPr>
            <w:tcW w:w="1888" w:type="dxa"/>
            <w:gridSpan w:val="2"/>
            <w:tcBorders/>
          </w:tcPr>
          <w:p>
            <w:pPr>
              <w:pStyle w:val="TableContents"/>
              <w:bidi w:val="0"/>
              <w:spacing w:lineRule="auto" w:line="240" w:before="0" w:after="0"/>
              <w:ind w:left="0" w:right="0" w:hanging="0"/>
              <w:jc w:val="center"/>
              <w:rPr>
                <w:rFonts w:ascii="Arial" w:hAnsi="Arial"/>
                <w:b/>
                <w:color w:val="000000"/>
                <w:sz w:val="20"/>
                <w:u w:val="single"/>
              </w:rPr>
            </w:pPr>
            <w:r>
              <w:rPr>
                <w:rFonts w:ascii="Arial" w:hAnsi="Arial"/>
                <w:b/>
                <w:color w:val="000000"/>
                <w:sz w:val="20"/>
                <w:u w:val="single"/>
              </w:rPr>
              <w:t>June 30</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2026</w:t>
            </w:r>
          </w:p>
        </w:tc>
        <w:tc>
          <w:tcPr>
            <w:tcW w:w="96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2025</w:t>
            </w:r>
          </w:p>
        </w:tc>
        <w:tc>
          <w:tcPr>
            <w:tcW w:w="60" w:type="dxa"/>
            <w:tcBorders/>
          </w:tcPr>
          <w:p>
            <w:pPr>
              <w:pStyle w:val="TableContents"/>
              <w:bidi w:val="0"/>
              <w:spacing w:lineRule="auto" w:line="240" w:before="0" w:after="0"/>
              <w:ind w:left="0" w:right="0" w:hanging="0"/>
              <w:jc w:val="center"/>
              <w:rPr/>
            </w:pPr>
            <w:r>
              <w:rPr/>
              <w:t> </w:t>
            </w:r>
          </w:p>
        </w:tc>
        <w:tc>
          <w:tcPr>
            <w:tcW w:w="935"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2026</w:t>
            </w:r>
          </w:p>
        </w:tc>
        <w:tc>
          <w:tcPr>
            <w:tcW w:w="953" w:type="dxa"/>
            <w:tcBorders/>
          </w:tcPr>
          <w:p>
            <w:pPr>
              <w:pStyle w:val="TableContents"/>
              <w:bidi w:val="0"/>
              <w:spacing w:lineRule="auto" w:line="240" w:before="0" w:after="0"/>
              <w:ind w:left="0" w:right="0" w:hanging="0"/>
              <w:jc w:val="center"/>
              <w:rPr>
                <w:rFonts w:ascii="Arial" w:hAnsi="Arial"/>
                <w:color w:val="000000"/>
                <w:sz w:val="20"/>
                <w:u w:val="single"/>
              </w:rPr>
            </w:pPr>
            <w:r>
              <w:rPr>
                <w:rFonts w:ascii="Arial" w:hAnsi="Arial"/>
                <w:color w:val="000000"/>
                <w:sz w:val="20"/>
                <w:u w:val="single"/>
              </w:rPr>
              <w:t>2025</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right"/>
              <w:rPr/>
            </w:pPr>
            <w:r>
              <w:rPr/>
              <w:t>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lineRule="auto" w:line="240" w:before="0" w:after="0"/>
              <w:ind w:left="0" w:right="0" w:hanging="0"/>
              <w:jc w:val="right"/>
              <w:rPr/>
            </w:pPr>
            <w:r>
              <w:rPr/>
              <w:t>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lineRule="auto" w:line="240" w:before="0" w:after="0"/>
              <w:ind w:left="0" w:right="0" w:hanging="0"/>
              <w:jc w:val="right"/>
              <w:rPr/>
            </w:pPr>
            <w:r>
              <w:rPr/>
              <w:t> </w:t>
            </w:r>
          </w:p>
        </w:tc>
        <w:tc>
          <w:tcPr>
            <w:tcW w:w="953" w:type="dxa"/>
            <w:tcBorders/>
          </w:tcPr>
          <w:p>
            <w:pPr>
              <w:pStyle w:val="TableContents"/>
              <w:bidi w:val="0"/>
              <w:spacing w:lineRule="auto" w:line="240" w:before="0" w:after="0"/>
              <w:ind w:left="0" w:right="0" w:hanging="0"/>
              <w:jc w:val="right"/>
              <w:rPr/>
            </w:pPr>
            <w:r>
              <w:rPr/>
              <w:t>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shd w:fill="CCEEFF" w:val="clear"/>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Average equity </w:t>
            </w:r>
          </w:p>
        </w:tc>
        <w:tc>
          <w:tcPr>
            <w:tcW w:w="71" w:type="dxa"/>
            <w:tcBorders/>
            <w:shd w:fill="CCEEFF" w:val="clear"/>
          </w:tcPr>
          <w:p>
            <w:pPr>
              <w:pStyle w:val="TableContents"/>
              <w:bidi w:val="0"/>
              <w:spacing w:lineRule="auto" w:line="240" w:before="0" w:after="0"/>
              <w:ind w:left="0" w:right="0" w:hanging="0"/>
              <w:jc w:val="right"/>
              <w:rPr/>
            </w:pPr>
            <w:r>
              <w:rPr/>
              <w:t> </w:t>
            </w:r>
          </w:p>
        </w:tc>
        <w:tc>
          <w:tcPr>
            <w:tcW w:w="96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$288,334  </w:t>
            </w:r>
          </w:p>
        </w:tc>
        <w:tc>
          <w:tcPr>
            <w:tcW w:w="96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$223,351  </w:t>
            </w:r>
          </w:p>
        </w:tc>
        <w:tc>
          <w:tcPr>
            <w:tcW w:w="60" w:type="dxa"/>
            <w:tcBorders/>
            <w:shd w:fill="CCEEFF" w:val="clear"/>
          </w:tcPr>
          <w:p>
            <w:pPr>
              <w:pStyle w:val="TableContents"/>
              <w:bidi w:val="0"/>
              <w:spacing w:lineRule="auto" w:line="240" w:before="0" w:after="0"/>
              <w:ind w:left="0" w:right="0" w:hanging="0"/>
              <w:jc w:val="right"/>
              <w:rPr/>
            </w:pPr>
            <w:r>
              <w:rPr/>
              <w:t> </w:t>
            </w:r>
          </w:p>
        </w:tc>
        <w:tc>
          <w:tcPr>
            <w:tcW w:w="935"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$289,064  </w:t>
            </w:r>
          </w:p>
        </w:tc>
        <w:tc>
          <w:tcPr>
            <w:tcW w:w="953" w:type="dxa"/>
            <w:tcBorders/>
            <w:shd w:fill="CCEEFF" w:val="clear"/>
          </w:tcPr>
          <w:p>
            <w:pPr>
              <w:pStyle w:val="TableContents"/>
              <w:bidi w:val="0"/>
              <w:spacing w:before="0" w:after="283"/>
              <w:jc w:val="right"/>
              <w:rPr>
                <w:rFonts w:ascii="Arial" w:hAnsi="Arial"/>
                <w:color w:val="000000"/>
                <w:sz w:val="20"/>
              </w:rPr>
            </w:pPr>
            <w:r>
              <w:rPr>
                <w:rFonts w:ascii="Arial" w:hAnsi="Arial"/>
                <w:color w:val="000000"/>
                <w:sz w:val="20"/>
              </w:rPr>
              <w:t xml:space="preserve">$220,787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Average goodwill and other intangibles </w:t>
            </w:r>
          </w:p>
        </w:tc>
        <w:tc>
          <w:tcPr>
            <w:tcW w:w="71" w:type="dxa"/>
            <w:tcBorders/>
          </w:tcPr>
          <w:p>
            <w:pPr>
              <w:pStyle w:val="TableContents"/>
              <w:bidi w:val="0"/>
              <w:spacing w:lineRule="auto" w:line="240" w:before="0" w:after="0"/>
              <w:ind w:left="0" w:right="0" w:hanging="0"/>
              <w:jc w:val="right"/>
              <w:rPr/>
            </w:pPr>
            <w:r>
              <w:rPr/>
              <w:t> </w:t>
            </w:r>
          </w:p>
        </w:tc>
        <w:tc>
          <w:tcPr>
            <w:tcW w:w="96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(39,609) </w:t>
            </w:r>
          </w:p>
        </w:tc>
        <w:tc>
          <w:tcPr>
            <w:tcW w:w="96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(29,394) </w:t>
            </w:r>
          </w:p>
        </w:tc>
        <w:tc>
          <w:tcPr>
            <w:tcW w:w="60" w:type="dxa"/>
            <w:tcBorders/>
          </w:tcPr>
          <w:p>
            <w:pPr>
              <w:pStyle w:val="TableContents"/>
              <w:bidi w:val="0"/>
              <w:spacing w:lineRule="auto" w:line="240" w:before="0" w:after="0"/>
              <w:ind w:left="0" w:right="0" w:hanging="0"/>
              <w:jc w:val="right"/>
              <w:rPr/>
            </w:pPr>
            <w:r>
              <w:rPr/>
              <w:t> </w:t>
            </w:r>
          </w:p>
        </w:tc>
        <w:tc>
          <w:tcPr>
            <w:tcW w:w="935"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(39,472) </w:t>
            </w:r>
          </w:p>
        </w:tc>
        <w:tc>
          <w:tcPr>
            <w:tcW w:w="953" w:type="dxa"/>
            <w:tcBorders/>
          </w:tcPr>
          <w:p>
            <w:pPr>
              <w:pStyle w:val="TableContents"/>
              <w:bidi w:val="0"/>
              <w:spacing w:before="0" w:after="283"/>
              <w:jc w:val="right"/>
              <w:rPr>
                <w:rFonts w:ascii="Arial" w:hAnsi="Arial"/>
                <w:color w:val="000000"/>
                <w:sz w:val="20"/>
              </w:rPr>
            </w:pPr>
            <w:r>
              <w:rPr>
                <w:rFonts w:ascii="Arial" w:hAnsi="Arial"/>
                <w:color w:val="000000"/>
                <w:sz w:val="20"/>
              </w:rPr>
              <w:t xml:space="preserve">(29,402) </w:t>
            </w:r>
          </w:p>
        </w:tc>
      </w:tr>
      <w:tr>
        <w:trPr/>
        <w:tc>
          <w:tcPr>
            <w:tcW w:w="464" w:type="dxa"/>
            <w:tcBorders/>
          </w:tcPr>
          <w:p>
            <w:pPr>
              <w:pStyle w:val="TableContents"/>
              <w:bidi w:val="0"/>
              <w:spacing w:lineRule="auto" w:line="240" w:before="0" w:after="0"/>
              <w:ind w:left="0" w:right="0" w:hanging="0"/>
              <w:jc w:val="right"/>
              <w:rPr>
                <w:rFonts w:cs="Arial"/>
                <w:color w:val="000000"/>
                <w:szCs w:val="20"/>
              </w:rPr>
            </w:pPr>
            <w:r>
              <w:rPr>
                <w:rFonts w:cs="Arial"/>
                <w:color w:val="000000"/>
                <w:szCs w:val="20"/>
              </w:rPr>
              <w:t>﻿</w:t>
            </w:r>
          </w:p>
        </w:tc>
        <w:tc>
          <w:tcPr>
            <w:tcW w:w="557" w:type="dxa"/>
            <w:tcBorders/>
          </w:tcPr>
          <w:p>
            <w:pPr>
              <w:pStyle w:val="TableContents"/>
              <w:bidi w:val="0"/>
              <w:spacing w:lineRule="auto" w:line="240" w:before="0" w:after="0"/>
              <w:ind w:left="0" w:right="0" w:hanging="0"/>
              <w:jc w:val="right"/>
              <w:rPr/>
            </w:pPr>
            <w:r>
              <w:rPr/>
              <w:t> </w:t>
            </w:r>
          </w:p>
        </w:tc>
        <w:tc>
          <w:tcPr>
            <w:tcW w:w="559" w:type="dxa"/>
            <w:tcBorders/>
          </w:tcPr>
          <w:p>
            <w:pPr>
              <w:pStyle w:val="TableContents"/>
              <w:bidi w:val="0"/>
              <w:spacing w:lineRule="auto" w:line="240" w:before="0" w:after="0"/>
              <w:ind w:left="0" w:right="0" w:hanging="0"/>
              <w:jc w:val="right"/>
              <w:rPr/>
            </w:pPr>
            <w:r>
              <w:rPr/>
              <w:t> </w:t>
            </w:r>
          </w:p>
        </w:tc>
        <w:tc>
          <w:tcPr>
            <w:tcW w:w="3236" w:type="dxa"/>
            <w:tcBorders/>
            <w:shd w:fill="CCEEFF" w:val="clear"/>
          </w:tcPr>
          <w:p>
            <w:pPr>
              <w:pStyle w:val="TableContents"/>
              <w:bidi w:val="0"/>
              <w:spacing w:lineRule="auto" w:line="240" w:before="0" w:after="0"/>
              <w:ind w:left="0" w:right="0" w:hanging="0"/>
              <w:jc w:val="left"/>
              <w:rPr>
                <w:rFonts w:ascii="Arial" w:hAnsi="Arial"/>
                <w:color w:val="000000"/>
                <w:sz w:val="20"/>
              </w:rPr>
            </w:pPr>
            <w:r>
              <w:rPr>
                <w:rFonts w:ascii="Arial" w:hAnsi="Arial"/>
                <w:color w:val="000000"/>
                <w:sz w:val="20"/>
              </w:rPr>
              <w:t xml:space="preserve">Average tangible equity </w:t>
            </w:r>
          </w:p>
        </w:tc>
        <w:tc>
          <w:tcPr>
            <w:tcW w:w="71" w:type="dxa"/>
            <w:tcBorders/>
            <w:shd w:fill="CCEEFF" w:val="clear"/>
          </w:tcPr>
          <w:p>
            <w:pPr>
              <w:pStyle w:val="TableContents"/>
              <w:bidi w:val="0"/>
              <w:spacing w:lineRule="auto" w:line="240" w:before="0" w:after="0"/>
              <w:ind w:left="0" w:right="0" w:hanging="0"/>
              <w:jc w:val="right"/>
              <w:rPr/>
            </w:pPr>
            <w:r>
              <w:rPr/>
              <w:t> </w:t>
            </w:r>
          </w:p>
        </w:tc>
        <w:tc>
          <w:tcPr>
            <w:tcW w:w="96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$248,725  </w:t>
            </w:r>
          </w:p>
        </w:tc>
        <w:tc>
          <w:tcPr>
            <w:tcW w:w="96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$193,957  </w:t>
            </w:r>
          </w:p>
        </w:tc>
        <w:tc>
          <w:tcPr>
            <w:tcW w:w="60" w:type="dxa"/>
            <w:tcBorders/>
            <w:shd w:fill="CCEEFF" w:val="clear"/>
          </w:tcPr>
          <w:p>
            <w:pPr>
              <w:pStyle w:val="TableContents"/>
              <w:bidi w:val="0"/>
              <w:spacing w:lineRule="auto" w:line="240" w:before="0" w:after="0"/>
              <w:ind w:left="0" w:right="0" w:hanging="0"/>
              <w:jc w:val="right"/>
              <w:rPr/>
            </w:pPr>
            <w:r>
              <w:rPr/>
              <w:t> </w:t>
            </w:r>
          </w:p>
        </w:tc>
        <w:tc>
          <w:tcPr>
            <w:tcW w:w="935"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$249,592  </w:t>
            </w:r>
          </w:p>
        </w:tc>
        <w:tc>
          <w:tcPr>
            <w:tcW w:w="953" w:type="dxa"/>
            <w:tcBorders>
              <w:bottom w:val="double" w:sz="5" w:space="0" w:color="000000"/>
            </w:tcBorders>
            <w:shd w:fill="CCEEFF" w:val="clear"/>
            <w:tcMar>
              <w:bottom w:w="28" w:type="dxa"/>
            </w:tcMar>
          </w:tcPr>
          <w:p>
            <w:pPr>
              <w:pStyle w:val="TableContents"/>
              <w:bidi w:val="0"/>
              <w:spacing w:before="0" w:after="283"/>
              <w:jc w:val="right"/>
              <w:rPr>
                <w:rFonts w:ascii="Arial" w:hAnsi="Arial"/>
                <w:color w:val="000000"/>
                <w:sz w:val="20"/>
              </w:rPr>
            </w:pPr>
            <w:r>
              <w:rPr>
                <w:rFonts w:ascii="Arial" w:hAnsi="Arial"/>
                <w:color w:val="000000"/>
                <w:sz w:val="20"/>
              </w:rPr>
              <w:t xml:space="preserve">$191,385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tbl>
      <w:tblPr>
        <w:tblW w:w="8765" w:type="dxa"/>
        <w:jc w:val="left"/>
        <w:tblInd w:w="720" w:type="dxa"/>
        <w:tblLayout w:type="fixed"/>
        <w:tblCellMar>
          <w:top w:w="0" w:type="dxa"/>
          <w:left w:w="0" w:type="dxa"/>
          <w:bottom w:w="0" w:type="dxa"/>
          <w:right w:w="0" w:type="dxa"/>
        </w:tblCellMar>
      </w:tblPr>
      <w:tblGrid>
        <w:gridCol w:w="38"/>
        <w:gridCol w:w="3341"/>
        <w:gridCol w:w="110"/>
        <w:gridCol w:w="858"/>
        <w:gridCol w:w="110"/>
        <w:gridCol w:w="1034"/>
        <w:gridCol w:w="110"/>
        <w:gridCol w:w="1034"/>
        <w:gridCol w:w="110"/>
        <w:gridCol w:w="858"/>
        <w:gridCol w:w="110"/>
        <w:gridCol w:w="1052"/>
      </w:tblGrid>
      <w:tr>
        <w:trPr/>
        <w:tc>
          <w:tcPr>
            <w:tcW w:w="38" w:type="dxa"/>
            <w:tcBorders/>
          </w:tcPr>
          <w:p>
            <w:pPr>
              <w:pStyle w:val="TableContents"/>
              <w:bidi w:val="0"/>
              <w:spacing w:lineRule="auto" w:line="276" w:before="0" w:after="0"/>
              <w:ind w:left="0" w:right="0" w:hanging="0"/>
              <w:jc w:val="left"/>
              <w:rPr>
                <w:rFonts w:cs="Arial"/>
                <w:szCs w:val="2"/>
              </w:rPr>
            </w:pPr>
            <w:r>
              <w:rPr>
                <w:rFonts w:cs="Arial"/>
                <w:szCs w:val="2"/>
              </w:rPr>
              <w:t>﻿</w:t>
            </w:r>
          </w:p>
        </w:tc>
        <w:tc>
          <w:tcPr>
            <w:tcW w:w="3341" w:type="dxa"/>
            <w:tcBorders/>
          </w:tcPr>
          <w:p>
            <w:pPr>
              <w:pStyle w:val="TableContents"/>
              <w:bidi w:val="0"/>
              <w:spacing w:lineRule="auto" w:line="276" w:before="0" w:after="0"/>
              <w:ind w:left="0" w:right="0" w:hanging="0"/>
              <w:jc w:val="left"/>
              <w:rPr/>
            </w:pPr>
            <w:r>
              <w:rPr/>
              <w:t> </w:t>
            </w:r>
          </w:p>
        </w:tc>
        <w:tc>
          <w:tcPr>
            <w:tcW w:w="110" w:type="dxa"/>
            <w:tcBorders/>
          </w:tcPr>
          <w:p>
            <w:pPr>
              <w:pStyle w:val="TableContents"/>
              <w:bidi w:val="0"/>
              <w:spacing w:lineRule="auto" w:line="276" w:before="0" w:after="0"/>
              <w:ind w:left="0" w:right="0" w:hanging="0"/>
              <w:jc w:val="left"/>
              <w:rPr/>
            </w:pPr>
            <w:r>
              <w:rPr/>
              <w:t> </w:t>
            </w:r>
          </w:p>
        </w:tc>
        <w:tc>
          <w:tcPr>
            <w:tcW w:w="858" w:type="dxa"/>
            <w:tcBorders/>
          </w:tcPr>
          <w:p>
            <w:pPr>
              <w:pStyle w:val="TableContents"/>
              <w:bidi w:val="0"/>
              <w:spacing w:lineRule="auto" w:line="276" w:before="0" w:after="0"/>
              <w:ind w:left="0" w:right="0" w:hanging="0"/>
              <w:jc w:val="left"/>
              <w:rPr/>
            </w:pPr>
            <w:r>
              <w:rPr/>
              <w:t> </w:t>
            </w:r>
          </w:p>
        </w:tc>
        <w:tc>
          <w:tcPr>
            <w:tcW w:w="110" w:type="dxa"/>
            <w:tcBorders/>
          </w:tcPr>
          <w:p>
            <w:pPr>
              <w:pStyle w:val="TableContents"/>
              <w:bidi w:val="0"/>
              <w:spacing w:lineRule="auto" w:line="276" w:before="0" w:after="0"/>
              <w:ind w:left="0" w:right="0" w:hanging="0"/>
              <w:jc w:val="left"/>
              <w:rPr/>
            </w:pPr>
            <w:r>
              <w:rPr/>
              <w:t> </w:t>
            </w:r>
          </w:p>
        </w:tc>
        <w:tc>
          <w:tcPr>
            <w:tcW w:w="1034" w:type="dxa"/>
            <w:tcBorders/>
          </w:tcPr>
          <w:p>
            <w:pPr>
              <w:pStyle w:val="TableContents"/>
              <w:bidi w:val="0"/>
              <w:spacing w:lineRule="auto" w:line="276" w:before="0" w:after="0"/>
              <w:ind w:left="0" w:right="0" w:hanging="0"/>
              <w:jc w:val="left"/>
              <w:rPr/>
            </w:pPr>
            <w:r>
              <w:rPr/>
              <w:t> </w:t>
            </w:r>
          </w:p>
        </w:tc>
        <w:tc>
          <w:tcPr>
            <w:tcW w:w="110" w:type="dxa"/>
            <w:tcBorders/>
          </w:tcPr>
          <w:p>
            <w:pPr>
              <w:pStyle w:val="TableContents"/>
              <w:bidi w:val="0"/>
              <w:spacing w:lineRule="auto" w:line="276" w:before="0" w:after="0"/>
              <w:ind w:left="0" w:right="0" w:hanging="0"/>
              <w:jc w:val="left"/>
              <w:rPr/>
            </w:pPr>
            <w:r>
              <w:rPr/>
              <w:t> </w:t>
            </w:r>
          </w:p>
        </w:tc>
        <w:tc>
          <w:tcPr>
            <w:tcW w:w="1034" w:type="dxa"/>
            <w:tcBorders/>
          </w:tcPr>
          <w:p>
            <w:pPr>
              <w:pStyle w:val="TableContents"/>
              <w:bidi w:val="0"/>
              <w:spacing w:lineRule="auto" w:line="276" w:before="0" w:after="0"/>
              <w:ind w:left="0" w:right="0" w:hanging="0"/>
              <w:jc w:val="left"/>
              <w:rPr/>
            </w:pPr>
            <w:r>
              <w:rPr/>
              <w:t> </w:t>
            </w:r>
          </w:p>
        </w:tc>
        <w:tc>
          <w:tcPr>
            <w:tcW w:w="110" w:type="dxa"/>
            <w:tcBorders/>
          </w:tcPr>
          <w:p>
            <w:pPr>
              <w:pStyle w:val="TableContents"/>
              <w:bidi w:val="0"/>
              <w:spacing w:lineRule="auto" w:line="276" w:before="0" w:after="0"/>
              <w:ind w:left="0" w:right="0" w:hanging="0"/>
              <w:jc w:val="left"/>
              <w:rPr/>
            </w:pPr>
            <w:r>
              <w:rPr/>
              <w:t> </w:t>
            </w:r>
          </w:p>
        </w:tc>
        <w:tc>
          <w:tcPr>
            <w:tcW w:w="858" w:type="dxa"/>
            <w:tcBorders/>
          </w:tcPr>
          <w:p>
            <w:pPr>
              <w:pStyle w:val="TableContents"/>
              <w:bidi w:val="0"/>
              <w:spacing w:lineRule="auto" w:line="276" w:before="0" w:after="0"/>
              <w:ind w:left="0" w:right="0" w:hanging="0"/>
              <w:jc w:val="left"/>
              <w:rPr/>
            </w:pPr>
            <w:r>
              <w:rPr/>
              <w:t> </w:t>
            </w:r>
          </w:p>
        </w:tc>
        <w:tc>
          <w:tcPr>
            <w:tcW w:w="110" w:type="dxa"/>
            <w:tcBorders/>
          </w:tcPr>
          <w:p>
            <w:pPr>
              <w:pStyle w:val="TableContents"/>
              <w:bidi w:val="0"/>
              <w:spacing w:lineRule="auto" w:line="276" w:before="0" w:after="0"/>
              <w:ind w:left="0" w:right="0" w:hanging="0"/>
              <w:jc w:val="left"/>
              <w:rPr/>
            </w:pPr>
            <w:r>
              <w:rPr/>
              <w:t> </w:t>
            </w:r>
          </w:p>
        </w:tc>
        <w:tc>
          <w:tcPr>
            <w:tcW w:w="1052" w:type="dxa"/>
            <w:tcBorders/>
          </w:tcPr>
          <w:p>
            <w:pPr>
              <w:pStyle w:val="TableContents"/>
              <w:bidi w:val="0"/>
              <w:spacing w:lineRule="auto" w:line="276" w:before="0" w:after="0"/>
              <w:ind w:left="0" w:right="0" w:hanging="0"/>
              <w:jc w:val="left"/>
              <w:rPr/>
            </w:pPr>
            <w:r>
              <w:rPr/>
              <w:t> </w:t>
            </w:r>
          </w:p>
        </w:tc>
      </w:tr>
      <w:tr>
        <w:trPr/>
        <w:tc>
          <w:tcPr>
            <w:tcW w:w="3379"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NORWOOD FINANCIAL CORP</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379"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Reconciliation of Non-GAAP Results</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379"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(dollars in thousands, except per share data)</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bCs/>
                <w:color w:val="000000"/>
                <w:szCs w:val="16"/>
              </w:rPr>
            </w:pPr>
            <w:r>
              <w:rPr>
                <w:rFonts w:cs="Arial"/>
                <w:bCs/>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left"/>
              <w:rPr>
                <w:rFonts w:ascii="Arial" w:hAnsi="Arial"/>
                <w:b/>
                <w:color w:val="000000"/>
                <w:sz w:val="16"/>
                <w:u w:val="single"/>
              </w:rPr>
            </w:pPr>
            <w:r>
              <w:rPr>
                <w:rFonts w:ascii="Arial" w:hAnsi="Arial"/>
                <w:b/>
                <w:color w:val="000000"/>
                <w:sz w:val="16"/>
                <w:u w:val="single"/>
              </w:rPr>
              <w:t>Pre Provision Net Revenue</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(Dollars in thousands)</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10" w:type="dxa"/>
            <w:tcBorders/>
          </w:tcPr>
          <w:p>
            <w:pPr>
              <w:pStyle w:val="TableContents"/>
              <w:bidi w:val="0"/>
              <w:spacing w:lineRule="auto" w:line="240" w:before="0" w:after="0"/>
              <w:ind w:left="0" w:right="0" w:hanging="0"/>
              <w:jc w:val="center"/>
              <w:rPr/>
            </w:pPr>
            <w:r>
              <w:rPr/>
              <w:t> </w:t>
            </w:r>
          </w:p>
        </w:tc>
        <w:tc>
          <w:tcPr>
            <w:tcW w:w="1052"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10" w:type="dxa"/>
            <w:tcBorders/>
          </w:tcPr>
          <w:p>
            <w:pPr>
              <w:pStyle w:val="TableContents"/>
              <w:bidi w:val="0"/>
              <w:spacing w:lineRule="auto" w:line="240" w:before="0" w:after="0"/>
              <w:ind w:left="0" w:right="0" w:hanging="0"/>
              <w:jc w:val="center"/>
              <w:rPr/>
            </w:pPr>
            <w:r>
              <w:rPr/>
              <w:t> </w:t>
            </w:r>
          </w:p>
        </w:tc>
        <w:tc>
          <w:tcPr>
            <w:tcW w:w="1052"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March 31,</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10" w:type="dxa"/>
            <w:tcBorders/>
          </w:tcPr>
          <w:p>
            <w:pPr>
              <w:pStyle w:val="TableContents"/>
              <w:bidi w:val="0"/>
              <w:spacing w:lineRule="auto" w:line="240" w:before="0" w:after="0"/>
              <w:ind w:left="0" w:right="0" w:hanging="0"/>
              <w:jc w:val="center"/>
              <w:rPr/>
            </w:pPr>
            <w:r>
              <w:rPr/>
              <w:t> </w:t>
            </w:r>
          </w:p>
        </w:tc>
        <w:tc>
          <w:tcPr>
            <w:tcW w:w="1052"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58"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034"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034"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858"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052"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Income before tax expense (GAAP)</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58"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16,449 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1034"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11,629 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1034"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4,820 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58"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15,120 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1052"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7,832 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Provision for credit losses</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58"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3,403 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034"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1,944 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034"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1,459 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58"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1,807 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052"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950 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Pre provision net revenue (PPNR) (Non-GAAP)</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858"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19,852 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034"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13,573 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034"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6,279 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858"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16,927 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052"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8,782 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Merger-related expenses</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4,994 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53  </w:t>
            </w:r>
          </w:p>
        </w:tc>
        <w:tc>
          <w:tcPr>
            <w:tcW w:w="110" w:type="dxa"/>
            <w:tcBorders/>
          </w:tcPr>
          <w:p>
            <w:pPr>
              <w:pStyle w:val="TableContents"/>
              <w:bidi w:val="0"/>
              <w:spacing w:lineRule="auto" w:line="240" w:before="0" w:after="0"/>
              <w:ind w:left="0" w:right="0" w:hanging="0"/>
              <w:jc w:val="right"/>
              <w:rPr/>
            </w:pPr>
            <w:r>
              <w:rPr/>
              <w:t> </w:t>
            </w:r>
          </w:p>
        </w:tc>
        <w:tc>
          <w:tcPr>
            <w:tcW w:w="1034"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4,941  </w:t>
            </w:r>
          </w:p>
        </w:tc>
        <w:tc>
          <w:tcPr>
            <w:tcW w:w="110" w:type="dxa"/>
            <w:tcBorders/>
          </w:tcPr>
          <w:p>
            <w:pPr>
              <w:pStyle w:val="TableContents"/>
              <w:bidi w:val="0"/>
              <w:spacing w:lineRule="auto" w:line="240" w:before="0" w:after="0"/>
              <w:ind w:left="0" w:right="0" w:hanging="0"/>
              <w:jc w:val="right"/>
              <w:rPr/>
            </w:pPr>
            <w:r>
              <w:rPr/>
              <w:t> </w:t>
            </w:r>
          </w:p>
        </w:tc>
        <w:tc>
          <w:tcPr>
            <w:tcW w:w="858"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10" w:type="dxa"/>
            <w:tcBorders/>
          </w:tcPr>
          <w:p>
            <w:pPr>
              <w:pStyle w:val="TableContents"/>
              <w:bidi w:val="0"/>
              <w:spacing w:lineRule="auto" w:line="240" w:before="0" w:after="0"/>
              <w:ind w:left="0" w:right="0" w:hanging="0"/>
              <w:jc w:val="right"/>
              <w:rPr/>
            </w:pPr>
            <w:r>
              <w:rPr/>
              <w:t> </w:t>
            </w:r>
          </w:p>
        </w:tc>
        <w:tc>
          <w:tcPr>
            <w:tcW w:w="1052"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BOLI restructuring fee</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58"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034"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034"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58"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052"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3341"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PPNR adjusted for one time expenses (Non-GAAP)</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58"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25,071 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034"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13,626 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034"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11,445 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58"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17,077 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052"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8,932 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TextBody"/>
        <w:bidi w:val="0"/>
        <w:spacing w:lineRule="auto" w:line="240" w:before="0" w:after="0"/>
        <w:ind w:left="720" w:right="720" w:hanging="0"/>
        <w:jc w:val="left"/>
        <w:rPr>
          <w:rFonts w:cs="Aptos"/>
          <w:szCs w:val="24"/>
        </w:rPr>
      </w:pPr>
      <w:r>
        <w:rPr>
          <w:rFonts w:cs="Times New Roman"/>
          <w:szCs w:val="24"/>
        </w:rPr>
        <w:t>﻿</w:t>
      </w: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8"/>
        <w:gridCol w:w="2733"/>
        <w:gridCol w:w="110"/>
        <w:gridCol w:w="861"/>
        <w:gridCol w:w="170"/>
        <w:gridCol w:w="110"/>
        <w:gridCol w:w="951"/>
        <w:gridCol w:w="170"/>
        <w:gridCol w:w="110"/>
        <w:gridCol w:w="951"/>
        <w:gridCol w:w="170"/>
        <w:gridCol w:w="110"/>
        <w:gridCol w:w="861"/>
        <w:gridCol w:w="170"/>
        <w:gridCol w:w="110"/>
        <w:gridCol w:w="951"/>
        <w:gridCol w:w="189"/>
      </w:tblGrid>
      <w:tr>
        <w:trPr/>
        <w:tc>
          <w:tcPr>
            <w:tcW w:w="38" w:type="dxa"/>
            <w:tcBorders/>
          </w:tcPr>
          <w:p>
            <w:pPr>
              <w:pStyle w:val="TableContents"/>
              <w:bidi w:val="0"/>
              <w:spacing w:lineRule="auto" w:line="240" w:before="0" w:after="0"/>
              <w:ind w:left="0" w:right="0" w:hanging="0"/>
              <w:jc w:val="left"/>
              <w:rPr>
                <w:rFonts w:cs="Arial"/>
                <w:szCs w:val="2"/>
              </w:rPr>
            </w:pPr>
            <w:r>
              <w:rPr>
                <w:rFonts w:cs="Arial"/>
                <w:szCs w:val="2"/>
              </w:rPr>
              <w:t>﻿</w:t>
            </w:r>
          </w:p>
        </w:tc>
        <w:tc>
          <w:tcPr>
            <w:tcW w:w="2733" w:type="dxa"/>
            <w:tcBorders/>
          </w:tcPr>
          <w:p>
            <w:pPr>
              <w:pStyle w:val="TableContents"/>
              <w:bidi w:val="0"/>
              <w:spacing w:lineRule="auto" w:line="240" w:before="0" w:after="0"/>
              <w:ind w:left="0" w:right="0" w:hanging="0"/>
              <w:jc w:val="left"/>
              <w:rPr/>
            </w:pPr>
            <w:r>
              <w:rPr/>
              <w:t> </w:t>
            </w:r>
          </w:p>
        </w:tc>
        <w:tc>
          <w:tcPr>
            <w:tcW w:w="110" w:type="dxa"/>
            <w:tcBorders/>
          </w:tcPr>
          <w:p>
            <w:pPr>
              <w:pStyle w:val="TableContents"/>
              <w:bidi w:val="0"/>
              <w:spacing w:lineRule="auto" w:line="240" w:before="0" w:after="0"/>
              <w:ind w:left="0" w:right="0" w:hanging="0"/>
              <w:jc w:val="left"/>
              <w:rPr/>
            </w:pPr>
            <w:r>
              <w:rPr/>
              <w:t> </w:t>
            </w:r>
          </w:p>
        </w:tc>
        <w:tc>
          <w:tcPr>
            <w:tcW w:w="861" w:type="dxa"/>
            <w:tcBorders/>
          </w:tcPr>
          <w:p>
            <w:pPr>
              <w:pStyle w:val="TableContents"/>
              <w:bidi w:val="0"/>
              <w:spacing w:lineRule="auto" w:line="240" w:before="0" w:after="0"/>
              <w:ind w:left="0" w:right="0" w:hanging="0"/>
              <w:jc w:val="left"/>
              <w:rPr/>
            </w:pPr>
            <w:r>
              <w:rPr/>
              <w:t> </w:t>
            </w:r>
          </w:p>
        </w:tc>
        <w:tc>
          <w:tcPr>
            <w:tcW w:w="170" w:type="dxa"/>
            <w:tcBorders/>
          </w:tcPr>
          <w:p>
            <w:pPr>
              <w:pStyle w:val="TableContents"/>
              <w:bidi w:val="0"/>
              <w:spacing w:lineRule="auto" w:line="240" w:before="0" w:after="0"/>
              <w:ind w:left="0" w:right="0" w:hanging="0"/>
              <w:jc w:val="left"/>
              <w:rPr/>
            </w:pPr>
            <w:r>
              <w:rPr/>
              <w:t> </w:t>
            </w:r>
          </w:p>
        </w:tc>
        <w:tc>
          <w:tcPr>
            <w:tcW w:w="110" w:type="dxa"/>
            <w:tcBorders/>
          </w:tcPr>
          <w:p>
            <w:pPr>
              <w:pStyle w:val="TableContents"/>
              <w:bidi w:val="0"/>
              <w:spacing w:lineRule="auto" w:line="240" w:before="0" w:after="0"/>
              <w:ind w:left="0" w:right="0" w:hanging="0"/>
              <w:jc w:val="left"/>
              <w:rPr/>
            </w:pPr>
            <w:r>
              <w:rPr/>
              <w:t> </w:t>
            </w:r>
          </w:p>
        </w:tc>
        <w:tc>
          <w:tcPr>
            <w:tcW w:w="951" w:type="dxa"/>
            <w:tcBorders/>
          </w:tcPr>
          <w:p>
            <w:pPr>
              <w:pStyle w:val="TableContents"/>
              <w:bidi w:val="0"/>
              <w:spacing w:lineRule="auto" w:line="240" w:before="0" w:after="0"/>
              <w:ind w:left="0" w:right="0" w:hanging="0"/>
              <w:jc w:val="left"/>
              <w:rPr/>
            </w:pPr>
            <w:r>
              <w:rPr/>
              <w:t> </w:t>
            </w:r>
          </w:p>
        </w:tc>
        <w:tc>
          <w:tcPr>
            <w:tcW w:w="170" w:type="dxa"/>
            <w:tcBorders/>
          </w:tcPr>
          <w:p>
            <w:pPr>
              <w:pStyle w:val="TableContents"/>
              <w:bidi w:val="0"/>
              <w:spacing w:lineRule="auto" w:line="240" w:before="0" w:after="0"/>
              <w:ind w:left="0" w:right="0" w:hanging="0"/>
              <w:jc w:val="left"/>
              <w:rPr/>
            </w:pPr>
            <w:r>
              <w:rPr/>
              <w:t> </w:t>
            </w:r>
          </w:p>
        </w:tc>
        <w:tc>
          <w:tcPr>
            <w:tcW w:w="110" w:type="dxa"/>
            <w:tcBorders/>
          </w:tcPr>
          <w:p>
            <w:pPr>
              <w:pStyle w:val="TableContents"/>
              <w:bidi w:val="0"/>
              <w:spacing w:lineRule="auto" w:line="240" w:before="0" w:after="0"/>
              <w:ind w:left="0" w:right="0" w:hanging="0"/>
              <w:jc w:val="left"/>
              <w:rPr/>
            </w:pPr>
            <w:r>
              <w:rPr/>
              <w:t> </w:t>
            </w:r>
          </w:p>
        </w:tc>
        <w:tc>
          <w:tcPr>
            <w:tcW w:w="951" w:type="dxa"/>
            <w:tcBorders/>
          </w:tcPr>
          <w:p>
            <w:pPr>
              <w:pStyle w:val="TableContents"/>
              <w:bidi w:val="0"/>
              <w:spacing w:lineRule="auto" w:line="240" w:before="0" w:after="0"/>
              <w:ind w:left="0" w:right="0" w:hanging="0"/>
              <w:jc w:val="left"/>
              <w:rPr/>
            </w:pPr>
            <w:r>
              <w:rPr/>
              <w:t> </w:t>
            </w:r>
          </w:p>
        </w:tc>
        <w:tc>
          <w:tcPr>
            <w:tcW w:w="170" w:type="dxa"/>
            <w:tcBorders/>
          </w:tcPr>
          <w:p>
            <w:pPr>
              <w:pStyle w:val="TableContents"/>
              <w:bidi w:val="0"/>
              <w:spacing w:lineRule="auto" w:line="240" w:before="0" w:after="0"/>
              <w:ind w:left="0" w:right="0" w:hanging="0"/>
              <w:jc w:val="left"/>
              <w:rPr/>
            </w:pPr>
            <w:r>
              <w:rPr/>
              <w:t> </w:t>
            </w:r>
          </w:p>
        </w:tc>
        <w:tc>
          <w:tcPr>
            <w:tcW w:w="110" w:type="dxa"/>
            <w:tcBorders/>
          </w:tcPr>
          <w:p>
            <w:pPr>
              <w:pStyle w:val="TableContents"/>
              <w:bidi w:val="0"/>
              <w:spacing w:lineRule="auto" w:line="240" w:before="0" w:after="0"/>
              <w:ind w:left="0" w:right="0" w:hanging="0"/>
              <w:jc w:val="left"/>
              <w:rPr/>
            </w:pPr>
            <w:r>
              <w:rPr/>
              <w:t> </w:t>
            </w:r>
          </w:p>
        </w:tc>
        <w:tc>
          <w:tcPr>
            <w:tcW w:w="861" w:type="dxa"/>
            <w:tcBorders/>
          </w:tcPr>
          <w:p>
            <w:pPr>
              <w:pStyle w:val="TableContents"/>
              <w:bidi w:val="0"/>
              <w:spacing w:lineRule="auto" w:line="240" w:before="0" w:after="0"/>
              <w:ind w:left="0" w:right="0" w:hanging="0"/>
              <w:jc w:val="left"/>
              <w:rPr/>
            </w:pPr>
            <w:r>
              <w:rPr/>
              <w:t> </w:t>
            </w:r>
          </w:p>
        </w:tc>
        <w:tc>
          <w:tcPr>
            <w:tcW w:w="170" w:type="dxa"/>
            <w:tcBorders/>
          </w:tcPr>
          <w:p>
            <w:pPr>
              <w:pStyle w:val="TableContents"/>
              <w:bidi w:val="0"/>
              <w:spacing w:lineRule="auto" w:line="240" w:before="0" w:after="0"/>
              <w:ind w:left="0" w:right="0" w:hanging="0"/>
              <w:jc w:val="left"/>
              <w:rPr/>
            </w:pPr>
            <w:r>
              <w:rPr/>
              <w:t> </w:t>
            </w:r>
          </w:p>
        </w:tc>
        <w:tc>
          <w:tcPr>
            <w:tcW w:w="110" w:type="dxa"/>
            <w:tcBorders/>
          </w:tcPr>
          <w:p>
            <w:pPr>
              <w:pStyle w:val="TableContents"/>
              <w:bidi w:val="0"/>
              <w:spacing w:lineRule="auto" w:line="240" w:before="0" w:after="0"/>
              <w:ind w:left="0" w:right="0" w:hanging="0"/>
              <w:jc w:val="left"/>
              <w:rPr/>
            </w:pPr>
            <w:r>
              <w:rPr/>
              <w:t> </w:t>
            </w:r>
          </w:p>
        </w:tc>
        <w:tc>
          <w:tcPr>
            <w:tcW w:w="951" w:type="dxa"/>
            <w:tcBorders/>
          </w:tcPr>
          <w:p>
            <w:pPr>
              <w:pStyle w:val="TableContents"/>
              <w:bidi w:val="0"/>
              <w:spacing w:lineRule="auto" w:line="240" w:before="0" w:after="0"/>
              <w:ind w:left="0" w:right="0" w:hanging="0"/>
              <w:jc w:val="left"/>
              <w:rPr/>
            </w:pPr>
            <w:r>
              <w:rPr/>
              <w:t> </w:t>
            </w:r>
          </w:p>
        </w:tc>
        <w:tc>
          <w:tcPr>
            <w:tcW w:w="189" w:type="dxa"/>
            <w:tcBorders/>
          </w:tcPr>
          <w:p>
            <w:pPr>
              <w:pStyle w:val="TableContents"/>
              <w:bidi w:val="0"/>
              <w:spacing w:lineRule="auto" w:line="240" w:before="0" w:after="0"/>
              <w:ind w:left="0" w:right="0" w:hanging="0"/>
              <w:jc w:val="left"/>
              <w:rPr/>
            </w:pPr>
            <w:r>
              <w:rPr/>
              <w:t> </w:t>
            </w:r>
          </w:p>
        </w:tc>
      </w:tr>
      <w:tr>
        <w:trPr/>
        <w:tc>
          <w:tcPr>
            <w:tcW w:w="2771"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NORWOOD FINANCIAL CORP</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2771"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Reconciliation of Non-GAAP Results (unaudited)</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2771" w:type="dxa"/>
            <w:gridSpan w:val="2"/>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(dollars in thousands, except per share data)</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u w:val="single"/>
              </w:rPr>
            </w:pPr>
            <w:r>
              <w:rPr>
                <w:rFonts w:ascii="Arial" w:hAnsi="Arial"/>
                <w:b/>
                <w:color w:val="000000"/>
                <w:sz w:val="16"/>
                <w:u w:val="single"/>
              </w:rPr>
              <w:t>Adjusted Return on Average Assets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(Dollars in thousands)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March 31,</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89"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Net income</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13,058 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9,328 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3,730 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11,978 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6,205  </w:t>
            </w:r>
          </w:p>
        </w:tc>
        <w:tc>
          <w:tcPr>
            <w:tcW w:w="189"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assets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2,890,759 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2,913,153 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2,868,074 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2,337,369 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2,355,809 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Return on average assets (annualized)</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0.91 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1.28 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0.53 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1.03 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1.06  </w:t>
            </w:r>
          </w:p>
        </w:tc>
        <w:tc>
          <w:tcPr>
            <w:tcW w:w="189"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Net income</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13,058 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9,328 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3,730 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11,978 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6,205 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Merger-related expenses</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4,994 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53 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4,941 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Boli restructuring fee</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Tax effect at 21%</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(1,096)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(1,085)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89"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Adjusted Net Income (Non-GAAP)</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17,181 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9,370 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7,811 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12,097 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6,324  </w:t>
            </w:r>
          </w:p>
        </w:tc>
        <w:tc>
          <w:tcPr>
            <w:tcW w:w="189"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assets</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2,890,759 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2,913,153 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2,868,074 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2,337,369 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2,355,809 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Adjusted return on average assets (annualized)</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(Non-GAAP)</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1.20 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1.29 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1.10 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1.04 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1.08  </w:t>
            </w:r>
          </w:p>
        </w:tc>
        <w:tc>
          <w:tcPr>
            <w:tcW w:w="189"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u w:val="single"/>
              </w:rPr>
            </w:pPr>
            <w:r>
              <w:rPr>
                <w:rFonts w:ascii="Arial" w:hAnsi="Arial"/>
                <w:b/>
                <w:color w:val="000000"/>
                <w:sz w:val="16"/>
                <w:u w:val="single"/>
              </w:rPr>
              <w:t>Adjusted Return on Average Tangible Shareholders' Equity</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(Dollars in thousands)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March 31,</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89"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Net income</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13,058 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9,328 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3,730 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11,978 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6,205  </w:t>
            </w:r>
          </w:p>
        </w:tc>
        <w:tc>
          <w:tcPr>
            <w:tcW w:w="189"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shareholders' equity</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289,064 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288,334 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289,799 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220,787 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223,351 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intangible assets</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(39,472)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(39,609)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(39,334)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(29,402)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(29,394) </w:t>
            </w:r>
          </w:p>
        </w:tc>
        <w:tc>
          <w:tcPr>
            <w:tcW w:w="189"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tangible shareholders' equity</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249,592 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248,725 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250,465 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191,385 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193,957  </w:t>
            </w:r>
          </w:p>
        </w:tc>
        <w:tc>
          <w:tcPr>
            <w:tcW w:w="189"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Return on average tangible shareholders' equity (annualized)</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10.55 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15.04 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6.04 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12.62 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12.83  </w:t>
            </w:r>
          </w:p>
        </w:tc>
        <w:tc>
          <w:tcPr>
            <w:tcW w:w="189"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Net income</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13,058 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9,328 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3,730 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11,978 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6,205 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Merger-related expenses</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4,994 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53 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4,941 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Boli restructuring fee</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Tax effect at 21%</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(1,096)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(1,085)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7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shd w:fill="CCEEFF" w:val="clear"/>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89" w:type="dxa"/>
            <w:tcBorders>
              <w:bottom w:val="single" w:sz="8" w:space="0" w:color="000000"/>
            </w:tcBorders>
            <w:shd w:fill="CCEEFF" w:val="clear"/>
            <w:tcMar>
              <w:bottom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Adjusted Net Income (Non-GAAP)</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17,181 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9,370 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7,811 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12,097  </w:t>
            </w:r>
          </w:p>
        </w:tc>
        <w:tc>
          <w:tcPr>
            <w:tcW w:w="17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6,324  </w:t>
            </w:r>
          </w:p>
        </w:tc>
        <w:tc>
          <w:tcPr>
            <w:tcW w:w="189" w:type="dxa"/>
            <w:tcBorders>
              <w:top w:val="single" w:sz="8" w:space="0" w:color="000000"/>
            </w:tcBorders>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Average tangible shareholders' equity</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249,592 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248,725 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250,465 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191,385 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193,957 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Adjusted return on average shareholders' equity (annualized)</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(Non-GAAP)</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13.88 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15.11 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12.65 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12.75  </w:t>
            </w:r>
          </w:p>
        </w:tc>
        <w:tc>
          <w:tcPr>
            <w:tcW w:w="170"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13.08  </w:t>
            </w:r>
          </w:p>
        </w:tc>
        <w:tc>
          <w:tcPr>
            <w:tcW w:w="189"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u w:val="single"/>
              </w:rPr>
            </w:pPr>
            <w:r>
              <w:rPr>
                <w:rFonts w:ascii="Arial" w:hAnsi="Arial"/>
                <w:b/>
                <w:color w:val="000000"/>
                <w:sz w:val="16"/>
                <w:u w:val="single"/>
              </w:rPr>
              <w:t>Adjusted Earnings Per Share</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(Dollars in thousands)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right"/>
              <w:rPr/>
            </w:pPr>
            <w:r>
              <w:rPr/>
              <w:t>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right"/>
              <w:rPr/>
            </w:pPr>
            <w:r>
              <w:rPr/>
              <w:t>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Six Months</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Three Months</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Ended</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March 31,</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70" w:type="dxa"/>
            <w:tcBorders/>
          </w:tcPr>
          <w:p>
            <w:pPr>
              <w:pStyle w:val="TableContents"/>
              <w:bidi w:val="0"/>
              <w:spacing w:lineRule="auto" w:line="240" w:before="0" w:after="0"/>
              <w:ind w:left="0" w:right="0" w:hanging="0"/>
              <w:jc w:val="center"/>
              <w:rPr/>
            </w:pPr>
            <w:r>
              <w:rPr/>
              <w:t> </w:t>
            </w:r>
          </w:p>
        </w:tc>
        <w:tc>
          <w:tcPr>
            <w:tcW w:w="110" w:type="dxa"/>
            <w:tcBorders/>
          </w:tcPr>
          <w:p>
            <w:pPr>
              <w:pStyle w:val="TableContents"/>
              <w:bidi w:val="0"/>
              <w:spacing w:lineRule="auto" w:line="240" w:before="0" w:after="0"/>
              <w:ind w:left="0" w:right="0" w:hanging="0"/>
              <w:jc w:val="center"/>
              <w:rPr/>
            </w:pPr>
            <w:r>
              <w:rPr/>
              <w:t> </w:t>
            </w:r>
          </w:p>
        </w:tc>
        <w:tc>
          <w:tcPr>
            <w:tcW w:w="951" w:type="dxa"/>
            <w:tcBorders/>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June 30,</w:t>
            </w:r>
          </w:p>
        </w:tc>
        <w:tc>
          <w:tcPr>
            <w:tcW w:w="189" w:type="dxa"/>
            <w:tcBorders/>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2026</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86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c>
          <w:tcPr>
            <w:tcW w:w="951" w:type="dxa"/>
            <w:tcBorders>
              <w:bottom w:val="single" w:sz="8" w:space="0" w:color="000000"/>
            </w:tcBorders>
            <w:tcMar>
              <w:bottom w:w="28" w:type="dxa"/>
            </w:tcMar>
          </w:tcPr>
          <w:p>
            <w:pPr>
              <w:pStyle w:val="TableContents"/>
              <w:bidi w:val="0"/>
              <w:spacing w:lineRule="auto" w:line="240" w:before="0" w:after="0"/>
              <w:ind w:left="0" w:right="0" w:hanging="0"/>
              <w:jc w:val="center"/>
              <w:rPr>
                <w:rFonts w:ascii="Arial" w:hAnsi="Arial"/>
                <w:b/>
                <w:color w:val="000000"/>
                <w:sz w:val="16"/>
              </w:rPr>
            </w:pPr>
            <w:r>
              <w:rPr>
                <w:rFonts w:ascii="Arial" w:hAnsi="Arial"/>
                <w:b/>
                <w:color w:val="000000"/>
                <w:sz w:val="16"/>
              </w:rPr>
              <w:t>2025</w:t>
            </w:r>
          </w:p>
        </w:tc>
        <w:tc>
          <w:tcPr>
            <w:tcW w:w="189" w:type="dxa"/>
            <w:tcBorders>
              <w:bottom w:val="single" w:sz="8" w:space="0" w:color="000000"/>
            </w:tcBorders>
            <w:tcMar>
              <w:bottom w:w="28" w:type="dxa"/>
            </w:tcMar>
          </w:tcPr>
          <w:p>
            <w:pPr>
              <w:pStyle w:val="TableContents"/>
              <w:bidi w:val="0"/>
              <w:spacing w:lineRule="auto" w:line="240" w:before="0" w:after="0"/>
              <w:ind w:left="0" w:right="0" w:hanging="0"/>
              <w:jc w:val="center"/>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GAAP-Based Earnings Per Share, Basic</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b/>
                <w:color w:val="000000"/>
                <w:sz w:val="16"/>
              </w:rPr>
            </w:pPr>
            <w:r>
              <w:rPr>
                <w:rFonts w:ascii="Arial" w:hAnsi="Arial"/>
                <w:b/>
                <w:color w:val="000000"/>
                <w:sz w:val="16"/>
              </w:rPr>
              <w:t xml:space="preserve">1.21 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b/>
                <w:color w:val="000000"/>
                <w:sz w:val="16"/>
              </w:rPr>
            </w:pPr>
            <w:r>
              <w:rPr>
                <w:rFonts w:ascii="Arial" w:hAnsi="Arial"/>
                <w:b/>
                <w:color w:val="000000"/>
                <w:sz w:val="16"/>
              </w:rPr>
              <w:t xml:space="preserve">0.86 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b/>
                <w:color w:val="000000"/>
                <w:sz w:val="16"/>
              </w:rPr>
            </w:pPr>
            <w:r>
              <w:rPr>
                <w:rFonts w:ascii="Arial" w:hAnsi="Arial"/>
                <w:b/>
                <w:color w:val="000000"/>
                <w:sz w:val="16"/>
              </w:rPr>
              <w:t xml:space="preserve">0.35 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b/>
                <w:color w:val="000000"/>
                <w:sz w:val="16"/>
              </w:rPr>
            </w:pPr>
            <w:r>
              <w:rPr>
                <w:rFonts w:ascii="Arial" w:hAnsi="Arial"/>
                <w:b/>
                <w:color w:val="000000"/>
                <w:sz w:val="16"/>
              </w:rPr>
              <w:t xml:space="preserve">1.30 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b/>
                <w:color w:val="000000"/>
                <w:sz w:val="16"/>
              </w:rPr>
            </w:pPr>
            <w:r>
              <w:rPr>
                <w:rFonts w:ascii="Arial" w:hAnsi="Arial"/>
                <w:b/>
                <w:color w:val="000000"/>
                <w:sz w:val="16"/>
              </w:rPr>
              <w:t xml:space="preserve">0.67  </w:t>
            </w:r>
          </w:p>
        </w:tc>
        <w:tc>
          <w:tcPr>
            <w:tcW w:w="189"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GAAP-Based Earnings Per Share, Diluted</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1.21 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0.86 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0.35 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1.30 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0.67 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Net Income</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13,058 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9,328 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3,730 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11,978 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6,205 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Merger-related expenses</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4,994 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53 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4,941 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86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right"/>
              <w:rPr/>
            </w:pPr>
            <w:r>
              <w:rPr/>
              <w:t> </w:t>
            </w:r>
          </w:p>
        </w:tc>
        <w:tc>
          <w:tcPr>
            <w:tcW w:w="951" w:type="dxa"/>
            <w:tcBorders/>
          </w:tcPr>
          <w:p>
            <w:pPr>
              <w:pStyle w:val="TableContents"/>
              <w:bidi w:val="0"/>
              <w:spacing w:before="0" w:after="283"/>
              <w:jc w:val="right"/>
              <w:rPr>
                <w:rFonts w:ascii="Arial" w:hAnsi="Arial"/>
                <w:color w:val="000000"/>
                <w:sz w:val="16"/>
              </w:rPr>
            </w:pPr>
            <w:r>
              <w:rPr>
                <w:rFonts w:ascii="Arial" w:hAnsi="Arial"/>
                <w:color w:val="000000"/>
                <w:sz w:val="16"/>
              </w:rPr>
              <w:t xml:space="preserve">150 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Boli restructuring fee</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225 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86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right"/>
              <w:rPr/>
            </w:pPr>
            <w:r>
              <w:rPr/>
              <w:t> </w:t>
            </w:r>
          </w:p>
        </w:tc>
        <w:tc>
          <w:tcPr>
            <w:tcW w:w="951" w:type="dxa"/>
            <w:tcBorders/>
            <w:shd w:fill="CCEEFF" w:val="clear"/>
          </w:tcPr>
          <w:p>
            <w:pPr>
              <w:pStyle w:val="TableContents"/>
              <w:bidi w:val="0"/>
              <w:spacing w:before="0" w:after="283"/>
              <w:jc w:val="right"/>
              <w:rPr>
                <w:rFonts w:ascii="Arial" w:hAnsi="Arial"/>
                <w:color w:val="000000"/>
                <w:sz w:val="16"/>
              </w:rPr>
            </w:pPr>
            <w:r>
              <w:rPr>
                <w:rFonts w:ascii="Arial" w:hAnsi="Arial"/>
                <w:color w:val="000000"/>
                <w:sz w:val="16"/>
              </w:rPr>
              <w:t xml:space="preserve">0  </w:t>
            </w:r>
          </w:p>
        </w:tc>
        <w:tc>
          <w:tcPr>
            <w:tcW w:w="189" w:type="dxa"/>
            <w:tcBorders/>
            <w:shd w:fill="CCEEFF" w:val="cle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Tax effect at 21%</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(1,096) </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(11) </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(1,085) </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861"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7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110"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c>
          <w:tcPr>
            <w:tcW w:w="951" w:type="dxa"/>
            <w:tcBorders>
              <w:bottom w:val="single" w:sz="8" w:space="0" w:color="000000"/>
            </w:tcBorders>
            <w:tcMar>
              <w:bottom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(32) </w:t>
            </w:r>
          </w:p>
        </w:tc>
        <w:tc>
          <w:tcPr>
            <w:tcW w:w="189" w:type="dxa"/>
            <w:tcBorders>
              <w:bottom w:val="single" w:sz="8" w:space="0" w:color="000000"/>
            </w:tcBorders>
            <w:tcMar>
              <w:bottom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Adjusted Net Income (Non-GAAP)</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17,181 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9,370 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7,811 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86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12,097  </w:t>
            </w:r>
          </w:p>
        </w:tc>
        <w:tc>
          <w:tcPr>
            <w:tcW w:w="17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110"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c>
          <w:tcPr>
            <w:tcW w:w="951" w:type="dxa"/>
            <w:tcBorders>
              <w:top w:val="single" w:sz="8" w:space="0" w:color="000000"/>
            </w:tcBorders>
            <w:shd w:fill="CCEEFF" w:val="clear"/>
            <w:tcMar>
              <w:top w:w="28" w:type="dxa"/>
            </w:tcMar>
          </w:tcPr>
          <w:p>
            <w:pPr>
              <w:pStyle w:val="TableContents"/>
              <w:bidi w:val="0"/>
              <w:spacing w:before="0" w:after="283"/>
              <w:jc w:val="right"/>
              <w:rPr>
                <w:rFonts w:ascii="Arial" w:hAnsi="Arial"/>
                <w:color w:val="000000"/>
                <w:sz w:val="16"/>
              </w:rPr>
            </w:pPr>
            <w:r>
              <w:rPr>
                <w:rFonts w:ascii="Arial" w:hAnsi="Arial"/>
                <w:color w:val="000000"/>
                <w:sz w:val="16"/>
              </w:rPr>
              <w:t xml:space="preserve">6,324  </w:t>
            </w:r>
          </w:p>
        </w:tc>
        <w:tc>
          <w:tcPr>
            <w:tcW w:w="189" w:type="dxa"/>
            <w:tcBorders>
              <w:top w:val="single" w:sz="8" w:space="0" w:color="000000"/>
            </w:tcBorders>
            <w:shd w:fill="CCEEFF" w:val="clear"/>
            <w:tcMar>
              <w:top w:w="28" w:type="dxa"/>
            </w:tcMar>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Adjusted Earnings per Share, Basic (Non-GAAP)</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1.59 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0.86 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0.73 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1.31  </w:t>
            </w:r>
          </w:p>
        </w:tc>
        <w:tc>
          <w:tcPr>
            <w:tcW w:w="170" w:type="dxa"/>
            <w:tcBorders/>
          </w:tcPr>
          <w:p>
            <w:pPr>
              <w:pStyle w:val="TableContents"/>
              <w:bidi w:val="0"/>
              <w:spacing w:lineRule="auto" w:line="240" w:before="0" w:after="0"/>
              <w:ind w:left="0" w:right="0" w:hanging="0"/>
              <w:jc w:val="right"/>
              <w:rPr/>
            </w:pPr>
            <w:r>
              <w:rPr/>
              <w:t> </w:t>
            </w:r>
          </w:p>
        </w:tc>
        <w:tc>
          <w:tcPr>
            <w:tcW w:w="110" w:type="dxa"/>
            <w:tcBorders/>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tcPr>
          <w:p>
            <w:pPr>
              <w:pStyle w:val="TableContents"/>
              <w:bidi w:val="0"/>
              <w:spacing w:before="0" w:after="283"/>
              <w:jc w:val="right"/>
              <w:rPr>
                <w:rFonts w:ascii="Arial" w:hAnsi="Arial"/>
                <w:b/>
                <w:color w:val="000000"/>
                <w:sz w:val="16"/>
              </w:rPr>
            </w:pPr>
            <w:r>
              <w:rPr>
                <w:rFonts w:ascii="Arial" w:hAnsi="Arial"/>
                <w:b/>
                <w:color w:val="000000"/>
                <w:sz w:val="16"/>
              </w:rPr>
              <w:t xml:space="preserve">0.69  </w:t>
            </w:r>
          </w:p>
        </w:tc>
        <w:tc>
          <w:tcPr>
            <w:tcW w:w="189" w:type="dxa"/>
            <w:tcBorders/>
          </w:tcPr>
          <w:p>
            <w:pPr>
              <w:pStyle w:val="TableContents"/>
              <w:bidi w:val="0"/>
              <w:spacing w:lineRule="auto" w:line="240" w:before="0" w:after="0"/>
              <w:ind w:left="0" w:right="0" w:hanging="0"/>
              <w:jc w:val="right"/>
              <w:rPr/>
            </w:pPr>
            <w:r>
              <w:rPr/>
              <w:t> </w:t>
            </w:r>
          </w:p>
        </w:tc>
      </w:tr>
      <w:tr>
        <w:trPr/>
        <w:tc>
          <w:tcPr>
            <w:tcW w:w="38" w:type="dxa"/>
            <w:tcBorders/>
          </w:tcPr>
          <w:p>
            <w:pPr>
              <w:pStyle w:val="TableContents"/>
              <w:bidi w:val="0"/>
              <w:spacing w:lineRule="auto" w:line="240" w:before="0" w:after="0"/>
              <w:ind w:left="0" w:right="0" w:hanging="0"/>
              <w:jc w:val="right"/>
              <w:rPr>
                <w:rFonts w:cs="Arial"/>
                <w:color w:val="000000"/>
                <w:szCs w:val="16"/>
              </w:rPr>
            </w:pPr>
            <w:r>
              <w:rPr>
                <w:rFonts w:cs="Arial"/>
                <w:color w:val="000000"/>
                <w:szCs w:val="16"/>
              </w:rPr>
              <w:t>﻿</w:t>
            </w:r>
          </w:p>
        </w:tc>
        <w:tc>
          <w:tcPr>
            <w:tcW w:w="2733" w:type="dxa"/>
            <w:tcBorders/>
            <w:shd w:fill="CCEEFF" w:val="clear"/>
          </w:tcPr>
          <w:p>
            <w:pPr>
              <w:pStyle w:val="TableContents"/>
              <w:bidi w:val="0"/>
              <w:spacing w:lineRule="auto" w:line="240" w:before="0" w:after="0"/>
              <w:ind w:left="0" w:right="0" w:hanging="0"/>
              <w:jc w:val="left"/>
              <w:rPr>
                <w:rFonts w:ascii="Arial" w:hAnsi="Arial"/>
                <w:b/>
                <w:color w:val="000000"/>
                <w:sz w:val="16"/>
              </w:rPr>
            </w:pPr>
            <w:r>
              <w:rPr>
                <w:rFonts w:ascii="Arial" w:hAnsi="Arial"/>
                <w:b/>
                <w:color w:val="000000"/>
                <w:sz w:val="16"/>
              </w:rPr>
              <w:t>Adjusted Earnings per Share, Diluted (Non-GAAP)</w:t>
            </w:r>
          </w:p>
        </w:tc>
        <w:tc>
          <w:tcPr>
            <w:tcW w:w="110"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1.59 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0.86 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0.72 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86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1.31  </w:t>
            </w:r>
          </w:p>
        </w:tc>
        <w:tc>
          <w:tcPr>
            <w:tcW w:w="170" w:type="dxa"/>
            <w:tcBorders/>
            <w:shd w:fill="CCEEFF" w:val="clear"/>
          </w:tcPr>
          <w:p>
            <w:pPr>
              <w:pStyle w:val="TableContents"/>
              <w:bidi w:val="0"/>
              <w:spacing w:lineRule="auto" w:line="240" w:before="0" w:after="0"/>
              <w:ind w:left="0" w:right="0" w:hanging="0"/>
              <w:jc w:val="right"/>
              <w:rPr/>
            </w:pPr>
            <w:r>
              <w:rPr/>
              <w:t> </w:t>
            </w:r>
          </w:p>
        </w:tc>
        <w:tc>
          <w:tcPr>
            <w:tcW w:w="110" w:type="dxa"/>
            <w:tcBorders/>
            <w:shd w:fill="CCEEFF" w:val="clear"/>
          </w:tcPr>
          <w:p>
            <w:pPr>
              <w:pStyle w:val="TableContents"/>
              <w:bidi w:val="0"/>
              <w:spacing w:lineRule="auto" w:line="240" w:before="0" w:after="0"/>
              <w:ind w:left="0" w:right="0" w:hanging="0"/>
              <w:jc w:val="left"/>
              <w:rPr>
                <w:rFonts w:ascii="Arial" w:hAnsi="Arial"/>
                <w:color w:val="000000"/>
                <w:sz w:val="16"/>
              </w:rPr>
            </w:pPr>
            <w:r>
              <w:rPr>
                <w:rFonts w:ascii="Arial" w:hAnsi="Arial"/>
                <w:color w:val="000000"/>
                <w:sz w:val="16"/>
              </w:rPr>
              <w:t>$</w:t>
            </w:r>
          </w:p>
        </w:tc>
        <w:tc>
          <w:tcPr>
            <w:tcW w:w="951" w:type="dxa"/>
            <w:tcBorders/>
            <w:shd w:fill="CCEEFF" w:val="clear"/>
          </w:tcPr>
          <w:p>
            <w:pPr>
              <w:pStyle w:val="TableContents"/>
              <w:bidi w:val="0"/>
              <w:spacing w:before="0" w:after="283"/>
              <w:jc w:val="right"/>
              <w:rPr>
                <w:rFonts w:ascii="Arial" w:hAnsi="Arial"/>
                <w:b/>
                <w:color w:val="000000"/>
                <w:sz w:val="16"/>
              </w:rPr>
            </w:pPr>
            <w:r>
              <w:rPr>
                <w:rFonts w:ascii="Arial" w:hAnsi="Arial"/>
                <w:b/>
                <w:color w:val="000000"/>
                <w:sz w:val="16"/>
              </w:rPr>
              <w:t xml:space="preserve">0.69  </w:t>
            </w:r>
          </w:p>
        </w:tc>
        <w:tc>
          <w:tcPr>
            <w:tcW w:w="189" w:type="dxa"/>
            <w:tcBorders/>
            <w:shd w:fill="CCEEFF" w:val="clear"/>
          </w:tcPr>
          <w:p>
            <w:pPr>
              <w:pStyle w:val="TableContents"/>
              <w:bidi w:val="0"/>
              <w:spacing w:lineRule="auto" w:line="240" w:before="0" w:after="0"/>
              <w:ind w:left="0" w:right="0" w:hanging="0"/>
              <w:jc w:val="right"/>
              <w:rPr/>
            </w:pPr>
            <w:r>
              <w:rPr/>
              <w:t> </w:t>
            </w:r>
          </w:p>
        </w:tc>
      </w:tr>
    </w:tbl>
    <w:p>
      <w:pPr>
        <w:pStyle w:val="TextBody"/>
        <w:bidi w:val="0"/>
        <w:spacing w:lineRule="auto" w:line="276" w:before="0" w:after="160"/>
        <w:ind w:left="720" w:right="720" w:hanging="0"/>
        <w:jc w:val="left"/>
        <w:rPr>
          <w:rFonts w:cs="Aptos"/>
          <w:szCs w:val="24"/>
        </w:rPr>
      </w:pPr>
      <w:r>
        <w:rPr>
          <w:rFonts w:cs="Aptos"/>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160" w:right="160" w:hanging="0"/>
        <w:jc w:val="right"/>
        <w:rPr>
          <w:rFonts w:ascii="Times New Roman" w:hAnsi="Times New Roman"/>
          <w:sz w:val="20"/>
        </w:rPr>
      </w:pPr>
      <w:bookmarkStart w:id="5" w:name="nwfl-20260722xex99_2.htm"/>
      <w:bookmarkStart w:id="6" w:name="ksnwfl20260722xex99_2"/>
      <w:bookmarkEnd w:id="5"/>
      <w:bookmarkEnd w:id="6"/>
      <w:r>
        <w:rPr>
          <w:rFonts w:ascii="Times New Roman" w:hAnsi="Times New Roman"/>
          <w:b/>
          <w:sz w:val="20"/>
        </w:rPr>
        <w:t>Exhibit 99.2</w:t>
      </w:r>
      <w:r>
        <w:rPr>
          <w:rFonts w:ascii="Times New Roman" w:hAnsi="Times New Roman"/>
          <w:sz w:val="20"/>
        </w:rPr>
        <w:t xml:space="preserve"> </w:t>
      </w:r>
      <w:r>
        <w:br w:type="page"/>
      </w:r>
    </w:p>
    <w:p>
      <w:pPr>
        <w:pStyle w:val="TextBody"/>
        <w:bidi w:val="0"/>
        <w:spacing w:lineRule="auto" w:line="240" w:before="0" w:after="0"/>
        <w:ind w:left="160" w:right="160" w:hanging="0"/>
        <w:jc w:val="center"/>
        <w:rPr/>
      </w:pPr>
      <w:r>
        <w:rPr/>
        <w:drawing>
          <wp:inline distT="0" distB="0" distL="0" distR="0">
            <wp:extent cx="9824720" cy="55264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Norwood FINANCIAL CORP NASDAQ GLOBAL : NWFL Q2 2026 Earnings Presentation Community Bank Making Every Day Better™ JULY 22, 2026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NORWOOD FINANCIAL CORP NASDAQ GLOBAL: NWFL Forward-looking statements and additional information This presentation contains forward-looking statements within the meaning of the federal securities laws that are made by Norwood Financial Corp (“Norwood”). All statements other than statements of historical fact are statements that could be deemed forward-looking statements, including all statements regarding the intent, belief or current expectations of Norwood and members of its board of directors and senior management teams. Investors and security holders are cautioned that such statements are predictions, and are not guarantees of future performance. Actual events or results may differ materially. Expected financial results or other plans are subject to a number of known and unknown risks, uncertainties and assumptions that are difficult to assess and are subject to change based on factors which are, in many instances, beyond Norwood’s control. Additional risks and uncertainties may include, but are not limited to, the risk that expected cost savings, revenue synergies and other financial benefits from the recently completed merger with PB Bankshares, Inc. (“PB Bankshares”) may not be realized or take longer than expected to realize; the merger may be more expensive to complete than anticipated, including as a result of unexpected factors or events; the integration of PB Bankshares’ business and operations with those of Norwood may take longer than anticipated, may be more costly than anticipated and may have unanticipated adverse results relating to Norwood’s existing businesses; the anticipated cost savings and other synergies of the merger may take longer to be realized or may not be achieved in their entirety, and attrition in key client, partner and other relationships relating to the merger may be greater than expected; the ability to achieve anticipated merger-related operational efficiencies; the ability to enhance revenue through increased market penetration, expanded lending capacity and product offerings; changes in monetary and fiscal policies of the Federal Reserve Board and the U. S. Government, particularly related to changes in interest rates; changes in general economic conditions, especially the effects of current fluctuations in tariff policies, impacts of workforce deportations, the proliferation of legal actions challenging government policies, and substantial reductions in force of government and non-government organization employees, all of which may put pressure on supply chains and exacerbate market volatility; occurrence of natural or man-made disasters or calamities, including health emergencies, the spread of infectious diseases, pandemics or outbreaks of hostilities, or the effects of climate change, and the ability of Norwood and its customers to deal effectively with disruptions caused by the foregoing; legislative or regulatory changes; downturn in demand for loan, deposit and other financial services in our market area; increased competition from other banks and non-bank providers of financial services; technological changes and increased technology-related costs; and changes in accounting principles, or the application of generally accepted accounting principles. Due to these and other possible uncertainties and risks, Norwood can give no assurance that the results contemplated in the forward-looking statements will be realized, and readers are cautioned not to place undue reliance on the forward-looking statements contained in this presentation. Forward-looking statements are based on information currently available to Norwood, and Norwood assumes no obligation and disclaim any intent to update any such forward-looking statements. All forward-looking statements, express or implied, included in the presentation are qualified in their entirety by this cautionary statement. NON-GAAP FINANCIAL MEASURES In addition to results presented in accordance with GAAP, this presentation includes certain non-GAAP financial measures. Norwood believes these non-GAAP financial measures provide additional information that is useful to investors in helping to understand underlying financial performance and condition and trends of Norwood. Non-GAAP financial measures have inherent limitations. Readers should be aware of these limitations and should be cautious with respect to the use of such measures. To compensate for these limitations, non-GAAP measures are used as comparative tools, together with GAAP measures, to assist in the evaluation of operating performance or financial condition. These measures are also calculated using the appropriate GAAP or regulatory components in their entirety and are computed in a manner intended to facilitate consistent period-to-period comparisons. Norwood’s method of calculating these non-GAAP measures may differ from methods used by other companies. These non-GAAP measures should not be considered in isolation or as a substitute or an alternative for those financial measures prepared in accordance with GAAP or in-effect regulatory requirements. Numbers in this presentation may not sum due to rounding. Where non-GAAP financial measures are used, the most directly comparable GAAP or regulatory financial measure, as well as the reconciliation to the most directly comparable GAAP or regulatory financial measure, can be found in this presentation. NORWOOD FINANCIAL CORP NASDAQ GLOBAL: NWFL Q2 2026 INVESTOR PRESENTATION 2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Q2 2026 summary Selected financial highlights (all comps Y/Y) $26.8M Net Interest Income +41% 3.90% Net Interest Margin (fte) +22bps $9.4M Adjusted Net Income +53% 1.28% Adjusted Return on Average Assets +22bps 3.27% Net Interest Spread (fte) +23 bps $13.6M Adjusted Pre Provision Net Revenue +53% $0.86 Adjusted Diluted EPS +28% 15.28% Adjsuted Return on Tangible Equity +220 bps Key messages 1 Achieved strong second-quarter performance, including record net interest income, extending the momentum we are building towards a bright future 2 Maintained strong financial position and credit quality while growing assets; recorded ~$1.4M initial net charge-offs related to customer bankruptcy 3 Completed Presence Bank integration, including core system conversion, and brand convergence; combined organization poised to better serve communities 4 Continued to build momentum in 2026, through strategic priorities to create a stronger organization with ingrained high-performance culture 1 See appendix for Non-GAAP reconciliation NORWOOD FINANCIAL CORP NASDAQ GLOBAL: NWFL Q2 2026 INVESTOR PRESENTATION 3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Making progress on our 2026 strategic priorities Focused on actions that will create value and build momentum Successfully complete Presence Bank integration • Completed key integration activity, including core system conversion and brand convergence • Ongoing dialogue to share best practices as we continue to standardize on operations and customer engagement Increase operating efficiency and elevate the customer experience through AI • Implemented PB commercial system to drive efficiency, manage risk, and empower employees to do more • Utilize AI embedded in PB processes across the organization as part of integration • Assess AI implementation and pursue highest value opportunities Strengthen our talent pool and deepen our leadership bench • Invest in our people to empower them to serve our communities • Cascade strategic priorities throughout organization • Steve Daniels, Executive Vice President and former Chief Consumer Banking Officer, has assumed role or Chief Lending Officer, assuming role previously held by Vinny O’Bell who is retiring in October 2026 Increase shareholder value • Delivered strong Q2 results on strong financial position and performance of our entire team • Grew asset base through increasing deposits, investment decisions, and strategic M&amp;A • Enhance shareholder returns through a reliable and growing dividend NORWOOD FINANCIAL CORP NASDAQ GLOBAL: NWFL Q2 2026 INVESTOR PRESENTATION 4</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Improving financial performance and positioning for continued growth Adjusted earnings per share $0.67 $0.72 $0.86 Q2 2025 Q1 2026 Q2 2026 Tangible book value per share $21.17 $22.43 $22.97 Q2 2025 Q1 2026 Q2 2026 EPS improved due to record net interest income and growth in other income, partially offset by higher expenses due to the acquisition TBV per share increased demonstrating our ability to generate earnings while continuing to build shareholder value Repositioned portfolio and Presence Bank acquisition continued to further strengthen our financial position and provides us with a larger organization to scale as we serve our communities 1 See appendix for Non-GAAP reconciliation NORWOOD FINANCIAL CORP NASDAQ GLOBAL: NWFL Q2 2026 INVESTOR PRESENTATION 5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Loan portfolio overview Small business lending, granular relationships and limited industry concentration Loan portfolio by category 1-4 Family 14% C&amp;I 13% Const &amp; Land 6% Consumer 1% CRE 47% Home q 4% Indirect 15% Total$2.3B Historical asset yields 6.16% 6.18% 6.08% 6.13% 6.22% 6.22% 6.28% 6.34% 5.31% 5.35% 5.54% 5.60% 5.69% 5.66% 5.73% 5.85% 2024 Q3 2024 Q4 2025 Q1 2025 Q2 2025 Q3 2025 Q4 2026 Q1 2026 Q2 CRE loans by industry 1-4 Family Rental 12% Investor Real Estate 32% Multi Family 8% Owner Occupied 42% Agriculture 6% Total $1.1B $98K Average Loan Size $325K Average Commercial Loan Size 12% Adjustable, 43% Floating, and 45% Fixed Rate Office Exposure: 7 loans for ~$4.2M CRE Ratio: 202% (as of Q2 2026) NORWOOD FINANCIAL CORP NASDAQ GLOBAL: NWFL Q2 2026 INVESTOR PRESENTATION 6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Strong historical credit quality Credit quality ratios 2022 2023 2024 2025 Q2 2026 Non-performing Loans / Loans 0.08% 0.48% 0.46% 0.34% 1.23% Net Charge Offs / Loans 0.02% 0.39% 0.10% 0.03% 0.24% ACL / Loans 1.15% 1.18% 1.16% 1.07% 1.13% Reserves / NPAs 1,165% 246% 252% 280% 90% NORWOOD FINANCIAL CORP NASDAQ GLOBAL: NWFL Q2 2026 INVESTOR PRESENTATION 7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Attractive retail franchise bolstered by commercial and municipal relationships Deposit portfolio by category Time Deposts 42 NIB Demand 20% IB Demand 18% MMDA 10% Savings 10% Total $2.5B $53K Average Account Size $493M in Municipal Deposits Historical funding costs 2.49% 2.46% 2.39% 2.30% 2.21% 2.21% 2.21% 2.11% 2.32% 2.30% 2.26% 2.17% 2.11% 2.14% 2.12% 2.06% 2024 Q3 2024 Q4 2025 Q1 2025 Q2 2025 Q3 2025 Q4 2026 Q1 2026 Q2 Cost of Deposits Cost of funds Deposit composition over time 25% 22% 21% 20% 20% 14% 14% 17% 19% 18% 16% 12% 10% 9% 10% 16% 13% 11% 10% 10% 29% 40% 41% 42% 42% 2022 2023 2024 2025 Q2 2026 Time Deposits Savings MMDA IB Demand NIB Demand NORWOOD FINANCIAL CORP NASDAQ GLOBAL: NWFL Q2 2026 INVESTOR PRESENTATION 8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Strength. Security. Stability. Key tenets for SUCCESS Customers Shareholders Employees Community 150+ years in business UNIFIED BRAND: Consolidated Wayne Bank, the Bank of Cooperstown, Bank of the Finger Lakes, and Presence Bank under single Wayne Bank brand Committed to the same community banking mission and core values instated upon our founding in 1871 Rewarding shareholders Focused on achieving above-peer performance targets bolstered by our competitive strength in markets of operation Repositioned the investment portfolio to improve yields in current and future interest rate environment Track record of 34 consecutive years of increasing cash dividends Growth &amp; expansion Consistent record of organic growth bolstered by four successful acquisitions between 2011 and 2026, including Presence Bank Focused on expanding noninterest and fee income through product offerings such as wealth and trust management, mortgage, and treasury management services A community pillar MISSION STATEMENT: “To help our customers and communities build strong financial futures, so that every day, every year, every generation is better than the last.” The Bank and its employees are key contributors to several local charities Focused on small business and local relationships NORWOOD FINANCIAL CORP NASDAQ GLOBAL: NWFL Q2 2026 INVESTOR PRESENTATION 9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APPENDIX NORWOOD FINANCIAL CORP NASDAQ GLOBAL: NWFL Q2 2026 INVESTOR PRESENTATION 10 </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1545" cy="5524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821545"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Net Interest Income FTE and Average Tangible Equity NORWOOD FINANCIAL CORP Reconciliation of Non-GAAP Results (dollars in thousands, except per share data) Net Interest Income FTE (dollars in thousands) Three months ended Six months ended June 30 June 30 2026 2025 2026 2025 Net Interest Income $26,839 $19,065 $51,393 $36,923 Taxable equivalent basis adjustment using 21% marginal tax rate 182 199 375 397 Net interest income on a fully taxable equivalent basis $27,021 $19,264 $51,768 $37,320 Average Tangible Equity (dollars in thousands) Three months ended Six months ended June 30 June 30 2026 2025 2026 2025 Average equity $288,334 $223,351 $289,064 $220,787 Average goodwill and other intangibles (39,609) (29,394) (39,472) (29,402) Average tangible equity $248,725 $193,957 $249,592 $191,385 NORWOOD FINANCIAL CORP Q2 2026 INVESTOR PRESENTATION 12</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1545" cy="5524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821545"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Pre Provision Net Revenue NORWOOD FINANCIAL CORP Reconciliation of Non-GAAP Results (dollars in thousands, except per share data) Pre Provision Net Revenue (Dollars in thousands) Six Months Three Months Three Months Six Months Three Months Ended Ended Ended Ended Ended June 30, June 30, March 31, June 30, June 30, 2026 2026 2026 2025 2025 Income before tax expense (GAAP) $ 16,449 $ 11,629 $ 4,820 $ 15,120 $ 7,832 Provision for credit losses 3,403 1,944 1,459 1,807 950 Pre provision net revenue (PPNR) (Non-GAAP) 19,852 13,573 6,279 16,927 8,782 Merger-related expenses 4,994 53 4,941 150 150 BOLI restructuring fee 225 0 225 0 0 PPNR adjusted for one time expenses (Non-GAAP) 25,071 13,626 11,445 17,077 8,932 NORWOOD FINANCIAL CORP Q2 2026 INVESTOR PRESENTATION 13</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1545" cy="5524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821545"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Adjusted Return on Average Assets NORWOOD FINANCIAL CORP Reconciliation of Non-GAAP Resutls (Dollars in thousands, except per share date) Adjusted Returnon Average Tangible Shareholders' Equity (Dollar in thousands) Six Months Three Months Three Months Six Months Three Months Ended Ended Ended Ended Ended June 30, June 30, March 31, June 30, June 30, 2026 2026 2026 2025 2025 Net income $13,058 $9,328 $3,730 $11,978 $6,205 Average assets 289,064 2,913,153 2,868,074 2,337,369 2,355,809 Return on average assets (annualized) 0.91% 1.28% 0.53% 1.03% 1.06% Net income 13,058 9,328 3,730 11,978 6,205 Merger-related expneses 4,994 53 4,941 150 150 Boli restructuring fee 225 — 225 — — Tax effect at 21% (1,096) (11) (1,085) (32) (32) Adjuste Net Income (Non-GAAP) 17,181 9,370 7,811 12,097 6,324 Average assets 2,890,759 2,913,153 2,868,074 2,337,369 2,355,809 Adjusted returnon average shareholders' equity (annualized) (Non-GAAP) 1.20% 1.29% 1.10% 1.04% 1.08% NORWOOD FINANCIAL CORP Q2 2026 INVESTOR PRESENTATION 14</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1545" cy="5524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821545" cy="5524500"/>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Non-GAAP financial measures Net Interest Income FTE and Average Tangible Equity NORWOOD FINANCIAL CORP Reconciliation of Non-GAAP Results (dollars in thousands, except per share data) Net Interest Income FTE (dollars in thousands) Three months ended Six months ended June 30 June 30 2026 2025 2026 2025 Net Interest Income $ 26,839 $ 19,065 $ 51,393 $ 36,923 Taxable equivalent basis adjustment using 21% marginal tax rate 182 199 375 397 Net interest income on a fully taxable equivalent basis $ 27,021 $ 19,264 $ 51,768 $ 37,320 Average Tangible Equity (dollars in thousands) Three months ended Six months ended June 30 June 30 2026 2025 2026 2025 Average equity $ 288,334 $ 223,351 $ 289,064 $ 220,787 Average goodwill and other intangibles (39,609) (29,394) (39,472) (29,402) Average tangible equity $ 248,725 $ 193,957 $ 249,592 $ 191,385 NORWOOD FINANCIAL CORP Q2 2026 INVESTOR PRESENTATION 12 Non-GAAP financial measures Pre Provision Net Revenue NORWOOD FINANCIAL CORP Reconciliation of Non-GAAP Results (dollars in thousands, except per share data) Pre Provision Net Revenue (Dollars in thousands) Six Months Three Months Three Months Six Months Three Months Ended Ended Ended Ended Ended June 30, June 30, March 31, June 30, June 30, 2026 2026 2026 2025 2025 Income before tax expense (GAAP) $ 16,449 $ 11,629 $ 4,820 $ 15,120 $ 7,832 Provision for credit losses 3,403 1,944 1,459 1,807 950 Pre provision net revenue (PPNR) (Non-GAAP) 19,852 13,573 6,279 16,927 8,782 Merger-related expenses 4,994 53 4,941 150 150 BOLI restructuring fee 225 0 225 0 0 PPNR adjusted for one time expenses (Non-GAAP) 25,071 13,626 11,445 17,077 8,932 NORWOOD FINANCIAL CORP Q2 2026 INVESTOR PRESENTATION 13 Non-GAAP financial measures Adjusted Return on Average Assets NORWOOD FINANCIAL CORP Reconciliation of Non-GAAP Results (dollars in thousands, except per shar data) Adjusted Returnon Average Assets (Dollars in thousands) Six Months Three Months Three Months Six Months Three Months Ended Ended Ended Ended Ended June 30, June 30, March 31, June 30, June 30, 2026 2026 2026 2025 2025 Net income $13,058 $9,328 $3,730 $11,978 $6,205 Average assets 2,890,759 2,913,153 2,868,074 2,337,369 2,355,809 Returnon average assets (annualized) 0.91% 1.28% 0.53% 1.03% 1.06% net income 13,058 9,328 3,730 11,978 6,205 Merger-related epxenses 4,994 533 4,941 150 150 Boli restructuring fee 225 — 225 — — Tax effect at 21% (1,098) (1) (1,085) (32) (32) Adjuste Net Income (Non-GAAP) 17,180 9,370 7,811 12,097 6,324 Average assets 2,890,759 2,913,153 2,868,074 2,337,369 2,355,809 Adjsuted reutrn on average assets (annualized) (Non-GAAP) 1.20% 1.29% 1.10% 1.04% 1.08% NORWOOD FINANCIAL CORP Q2 2026 INVESTOR PRESENTATION 14 Non-GAAP financial measures Adjusted Return on Average Tangible Shareholders’ Equity and Adjusted Earnings Per Share Adjusted Returnon Average Tangible Shareholders' Equity (Dollar in thousands) Six Months Three Months Three Months Six Months Three Months Ended Ended Ended Ended Ended June 30, June 30, March 31, June 30, June 30, 2026 2026 2026 2025 2025 Net income $13,058 $9,328 $3,730 $11,978 $6,205 Average shareholders' equity 289,064 288,334 289,799 220,787 223,351 Average intangible assets (39,472) (39,609) (39,334) (29,402) (29,394) Average tangible sahrehlders' equity 249,592 248,728 250,465 191,385 193,957 Returnon average tangible shareholders' equity (annualized) 10.55% 15.04% 6.04% 12.62% 25.10% Net income 13,058 9,328 3,730 11,978 6,205 Merger-related expneses 4,994 53 4,941 150 150 Boli restructuring fee 225 — 225 — — Tax effect at 21% (1,096) (11) (1,085) (32) (32) Adjuste Net Income (Non-GAAP) 17,181 9,370 7,811 12,097 6,324 Average tangible shareholders' equity 249,592 248,725 250,465 191,385 193,957 Adjusted returnon average shareholders' equity (annualized) (Non-GAAP) 13.88% 15.11% 12.65% 12.75% 25.35% Adjusted Eearnings Per Share (Dollars in thousadns) Six Months Three Months Three Months Six Months Three Months Ended Ended Ended Ended Ended June 30, June 30, March 31, June 30, June 30, 2026 2026 2026 2025 2025 GAAP- Based Earnings Pe Share, Basic $1.21 $0.86 $0.35 $1.30 $0.67 GAAP- Based Earnings Pe Share, Diluted $1.21 $0.86 $0.35 $1.30 $0.67 Net Income 13,058 9,328 3,730 11,978 6,205 Merger-realted expneses 4,994 53 4,941 150 150 Boli reconstructuring fee 225 — 225 — — Tax effect at 21% (1,096) (11) (1,085) (32) (32) Adjusted Net Income (Non- GAAP) 17,181 9,370 7,811 12,097 6,324 Adjusted Earnings per Sahre, Basic (Non-GAAP) $1.59 $0.86 $0.73 $1.31 $0.69 Adjusted Earnings per Sahre, Diluted (Non-GAAP) $1.59 $0.86 $0.72 $1.31 $0.69 NORWOOD FINANCIAL CORP Q2 2026 INVESTOR PRESENTATION 15</w:t>
      </w:r>
      <w:r>
        <w:rPr>
          <w:rFonts w:ascii="Times New Roman" w:hAnsi="Times New Roman"/>
          <w:sz w:val="2"/>
        </w:rPr>
        <w:t xml:space="preserve"> </w:t>
      </w:r>
    </w:p>
    <w:p>
      <w:pPr>
        <w:pStyle w:val="HorizontalLine"/>
        <w:pBdr>
          <w:bottom w:val="double" w:sz="6" w:space="0" w:color="808080"/>
        </w:pBdr>
        <w:bidi w:val="0"/>
        <w:ind w:left="160" w:right="160" w:hanging="0"/>
        <w:jc w:val="left"/>
        <w:rPr/>
      </w:pPr>
      <w:r>
        <w:rPr/>
      </w:r>
    </w:p>
    <w:p>
      <w:pPr>
        <w:pStyle w:val="TextBody"/>
        <w:bidi w:val="0"/>
        <w:ind w:left="160" w:right="160" w:hanging="0"/>
        <w:jc w:val="left"/>
        <w:rPr/>
      </w:pPr>
      <w:r>
        <w:rPr/>
        <w:t> </w:t>
      </w:r>
      <w:r>
        <w:br w:type="page"/>
      </w:r>
    </w:p>
    <w:p>
      <w:pPr>
        <w:pStyle w:val="TextBody"/>
        <w:bidi w:val="0"/>
        <w:spacing w:lineRule="auto" w:line="240" w:before="0" w:after="0"/>
        <w:ind w:left="160" w:right="160" w:hanging="0"/>
        <w:jc w:val="center"/>
        <w:rPr>
          <w:rFonts w:cs="Times New Roman"/>
          <w:szCs w:val="2"/>
        </w:rPr>
      </w:pPr>
      <w:r>
        <w:rPr>
          <w:rFonts w:cs="Times New Roman"/>
          <w:color w:val="FFFFFF"/>
          <w:szCs w:val="2"/>
        </w:rPr>
        <w:t>﻿</w:t>
      </w:r>
      <w:r>
        <w:rPr>
          <w:rFonts w:cs="Times New Roman"/>
          <w:szCs w:val="2"/>
        </w:rPr>
        <w:t xml:space="preserve"> </w:t>
      </w:r>
    </w:p>
    <w:p>
      <w:pPr>
        <w:pStyle w:val="TextBody"/>
        <w:bidi w:val="0"/>
        <w:spacing w:lineRule="auto" w:line="240" w:before="0" w:after="0"/>
        <w:ind w:left="160" w:right="160" w:hanging="0"/>
        <w:jc w:val="center"/>
        <w:rPr/>
      </w:pPr>
      <w:r>
        <w:rPr>
          <w:color w:val="FFFFFF"/>
        </w:rPr>
        <w:drawing>
          <wp:inline distT="0" distB="0" distL="0" distR="0">
            <wp:extent cx="9824720" cy="55264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824720" cy="5526405"/>
                    </a:xfrm>
                    <a:prstGeom prst="rect">
                      <a:avLst/>
                    </a:prstGeom>
                  </pic:spPr>
                </pic:pic>
              </a:graphicData>
            </a:graphic>
          </wp:inline>
        </w:drawing>
      </w:r>
      <w:r>
        <w:rPr/>
        <w:t xml:space="preserve"> </w:t>
      </w:r>
    </w:p>
    <w:p>
      <w:pPr>
        <w:pStyle w:val="TextBody"/>
        <w:bidi w:val="0"/>
        <w:spacing w:lineRule="auto" w:line="240" w:before="0" w:after="0"/>
        <w:ind w:left="160" w:right="160" w:hanging="0"/>
        <w:jc w:val="center"/>
        <w:rPr>
          <w:rFonts w:ascii="Times New Roman" w:hAnsi="Times New Roman"/>
          <w:sz w:val="2"/>
        </w:rPr>
      </w:pPr>
      <w:r>
        <w:rPr>
          <w:rFonts w:ascii="Times New Roman" w:hAnsi="Times New Roman"/>
          <w:color w:val="FFFFFF"/>
          <w:sz w:val="2"/>
        </w:rPr>
        <w:t>Thank you</w:t>
      </w:r>
      <w:r>
        <w:rPr>
          <w:rFonts w:ascii="Times New Roman" w:hAnsi="Times New Roman"/>
          <w:sz w:val="2"/>
        </w:rPr>
        <w:t xml:space="preserve"> </w:t>
      </w:r>
    </w:p>
    <w:p>
      <w:pPr>
        <w:pStyle w:val="HorizontalLine"/>
        <w:pBdr>
          <w:bottom w:val="double" w:sz="6" w:space="0" w:color="808080"/>
        </w:pBdr>
        <w:bidi w:val="0"/>
        <w:spacing w:before="0" w:after="283"/>
        <w:ind w:left="160" w:right="16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pto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7850</Words>
  <Characters>43091</Characters>
  <CharactersWithSpaces>55593</CharactersWithSpaces>
  <Paragraphs>5729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