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PHILLIPS KENNETH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717 MAIN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HONESDALE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18431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NORWOOD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NWFL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3"/>
        <w:gridCol w:w="907"/>
        <w:gridCol w:w="776"/>
        <w:gridCol w:w="602"/>
        <w:gridCol w:w="347"/>
        <w:gridCol w:w="797"/>
        <w:gridCol w:w="449"/>
        <w:gridCol w:w="754"/>
        <w:gridCol w:w="1156"/>
        <w:gridCol w:w="993"/>
        <w:gridCol w:w="11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31.88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15,893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Director Retainer Shares issued under the 2024 Equity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Award vests in five equal installments beginning on December 14, 2022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Award vests in five equal installments beginning on December 13, 2023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Award vests in five equal installments beginning on December 12, 2024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Award vests in three equal installments beginning December 15, 2025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Award vests in three equal installments beginning on December 15, 2026 and annually thereafter during such periods of continued service as an Employee, Outside Director or Director Emeritus, as applicable.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Kenneth A. Phillips, by Mackenzie Jackson,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2468" TargetMode="External"/><Relationship Id="rId5" Type="http://schemas.openxmlformats.org/officeDocument/2006/relationships/hyperlink" Target="http://www.sec.gov/cgi-bin/browse-edgar?action=getcompany&amp;CIK=00010132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763</Words>
  <Characters>4195</Characters>
  <CharactersWithSpaces>4877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